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632FA">
      <w:pPr>
        <w:pStyle w:val="5"/>
        <w:spacing w:line="360" w:lineRule="auto"/>
        <w:ind w:left="0"/>
        <w:jc w:val="center"/>
        <w:rPr>
          <w:rFonts w:ascii="黑体" w:hAnsi="黑体" w:eastAsia="黑体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中山大学管理学院本科生</w:t>
      </w:r>
    </w:p>
    <w:p w14:paraId="2CBCD4F5">
      <w:pPr>
        <w:pStyle w:val="5"/>
        <w:spacing w:line="360" w:lineRule="auto"/>
        <w:ind w:left="0"/>
        <w:jc w:val="center"/>
        <w:rPr>
          <w:rFonts w:ascii="黑体" w:hAnsi="黑体" w:eastAsia="黑体"/>
          <w:color w:val="000000" w:themeColor="text1"/>
          <w:spacing w:val="-2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综合素质测评（奖学金综合评价）实施细则</w:t>
      </w:r>
    </w:p>
    <w:p w14:paraId="11D41E35">
      <w:pPr>
        <w:pStyle w:val="5"/>
        <w:spacing w:line="360" w:lineRule="auto"/>
        <w:ind w:left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2025年修订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 w14:paraId="4E3ADD11">
      <w:pPr>
        <w:pStyle w:val="5"/>
        <w:spacing w:line="360" w:lineRule="auto"/>
        <w:ind w:left="0" w:firstLine="552" w:firstLineChars="200"/>
        <w:jc w:val="both"/>
        <w:rPr>
          <w:rFonts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为全面贯彻党的教育方针,落实立德树人根本任务，坚持为党育</w:t>
      </w:r>
      <w:r>
        <w:rPr>
          <w:rFonts w:hint="eastAsia"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人、为国育才，培养德智体美劳全面发展的，具有学习力、思想力、行动力能够引领未来的拔尖创新人才。根据《普通高等学校学生管理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仿宋" w:hAnsi="仿宋" w:eastAsia="仿宋"/>
          <w:color w:val="000000" w:themeColor="text1"/>
          <w:spacing w:val="-201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/>
          <w:color w:val="000000" w:themeColor="text1"/>
          <w:spacing w:val="-35"/>
          <w:sz w:val="28"/>
          <w:szCs w:val="28"/>
          <w14:textFill>
            <w14:solidFill>
              <w14:schemeClr w14:val="tx1"/>
            </w14:solidFill>
          </w14:textFill>
        </w:rPr>
        <w:t>《中山大学本科生奖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学金管理办法》</w:t>
      </w:r>
      <w:r>
        <w:rPr>
          <w:rFonts w:hint="eastAsia"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等有关文件精神</w:t>
      </w:r>
      <w:r>
        <w:rPr>
          <w:rFonts w:hint="eastAsia" w:ascii="仿宋" w:hAnsi="仿宋" w:eastAsia="仿宋"/>
          <w:color w:val="000000" w:themeColor="text1"/>
          <w:spacing w:val="-28"/>
          <w:sz w:val="28"/>
          <w:szCs w:val="28"/>
          <w14:textFill>
            <w14:solidFill>
              <w14:schemeClr w14:val="tx1"/>
            </w14:solidFill>
          </w14:textFill>
        </w:rPr>
        <w:t>，结合学院学科特色和本科生培养目标，</w:t>
      </w:r>
      <w:r>
        <w:rPr>
          <w:rFonts w:hint="eastAsia"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制定本细则。</w:t>
      </w:r>
    </w:p>
    <w:p w14:paraId="433FA7F9">
      <w:pPr>
        <w:pStyle w:val="5"/>
        <w:spacing w:line="360" w:lineRule="auto"/>
        <w:ind w:left="0"/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</w:pPr>
    </w:p>
    <w:p w14:paraId="7C1BCA47">
      <w:pPr>
        <w:pStyle w:val="3"/>
        <w:spacing w:before="0" w:beforeLines="0" w:after="0" w:afterLine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第一章 总则</w:t>
      </w:r>
    </w:p>
    <w:p w14:paraId="512C094B">
      <w:pPr>
        <w:pStyle w:val="5"/>
        <w:spacing w:line="360" w:lineRule="auto"/>
        <w:ind w:left="0" w:firstLine="538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第一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本方案为管理学院开展本科生综合素质评定的指导性</w:t>
      </w:r>
      <w:r>
        <w:rPr>
          <w:rFonts w:hint="eastAsia"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文</w:t>
      </w:r>
      <w:r>
        <w:rPr>
          <w:rFonts w:hint="eastAsia" w:ascii="仿宋" w:hAnsi="仿宋" w:eastAsia="仿宋"/>
          <w:color w:val="000000" w:themeColor="text1"/>
          <w:spacing w:val="-14"/>
          <w:sz w:val="28"/>
          <w:szCs w:val="28"/>
          <w14:textFill>
            <w14:solidFill>
              <w14:schemeClr w14:val="tx1"/>
            </w14:solidFill>
          </w14:textFill>
        </w:rPr>
        <w:t>件，坚持公开、公平、公正和实事求是的原则，其实施受学院全体师</w:t>
      </w:r>
      <w:r>
        <w:rPr>
          <w:rFonts w:hint="eastAsia"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生监督。</w:t>
      </w:r>
    </w:p>
    <w:p w14:paraId="216D53B2">
      <w:pPr>
        <w:pStyle w:val="5"/>
        <w:spacing w:line="360" w:lineRule="auto"/>
        <w:ind w:left="0" w:firstLine="538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第二</w:t>
      </w:r>
      <w:r>
        <w:rPr>
          <w:rFonts w:hint="eastAsia" w:ascii="仿宋" w:hAnsi="仿宋" w:eastAsia="仿宋"/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综合素质测评（奖学金综合评价）以下简称“综测”，是对学生的课程成绩平均绩点（裸绩）和综测</w:t>
      </w:r>
      <w:r>
        <w:rPr>
          <w:rFonts w:hint="eastAsia"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加分（包括学习力</w:t>
      </w:r>
      <w:r>
        <w:rPr>
          <w:rFonts w:hint="eastAsia" w:ascii="仿宋" w:hAnsi="仿宋" w:eastAsia="仿宋"/>
          <w:color w:val="000000" w:themeColor="text1"/>
          <w:spacing w:val="-22"/>
          <w:sz w:val="28"/>
          <w:szCs w:val="28"/>
          <w14:textFill>
            <w14:solidFill>
              <w14:schemeClr w14:val="tx1"/>
            </w14:solidFill>
          </w14:textFill>
        </w:rPr>
        <w:t>、思想力、行动力三个一级指标）的</w:t>
      </w:r>
      <w:r>
        <w:rPr>
          <w:rFonts w:hint="eastAsia"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表现进行综合评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定。</w:t>
      </w:r>
    </w:p>
    <w:p w14:paraId="7A309825">
      <w:pPr>
        <w:pStyle w:val="5"/>
        <w:spacing w:line="360" w:lineRule="auto"/>
        <w:ind w:left="0" w:firstLine="546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第三</w:t>
      </w:r>
      <w:r>
        <w:rPr>
          <w:rFonts w:hint="eastAsia" w:ascii="仿宋" w:hAnsi="仿宋" w:eastAsia="仿宋"/>
          <w:b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综测工作每学年开展一次，一般于每学年秋季学期</w:t>
      </w:r>
      <w:r>
        <w:rPr>
          <w:rFonts w:hint="eastAsia"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对上一学年进行</w:t>
      </w:r>
      <w:r>
        <w:rPr>
          <w:rFonts w:hint="eastAsia" w:ascii="仿宋" w:hAnsi="仿宋" w:eastAsia="仿宋"/>
          <w:color w:val="000000" w:themeColor="text1"/>
          <w:spacing w:val="-26"/>
          <w:sz w:val="28"/>
          <w:szCs w:val="28"/>
          <w14:textFill>
            <w14:solidFill>
              <w14:schemeClr w14:val="tx1"/>
            </w14:solidFill>
          </w14:textFill>
        </w:rPr>
        <w:t>评定。每个班级</w:t>
      </w:r>
      <w:r>
        <w:rPr>
          <w:rFonts w:hint="eastAsia"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选派 5</w:t>
      </w:r>
      <w:r>
        <w:rPr>
          <w:rFonts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pacing w:val="-22"/>
          <w:sz w:val="28"/>
          <w:szCs w:val="28"/>
          <w14:textFill>
            <w14:solidFill>
              <w14:schemeClr w14:val="tx1"/>
            </w14:solidFill>
          </w14:textFill>
        </w:rPr>
        <w:t>名代表组成班</w:t>
      </w:r>
      <w:r>
        <w:rPr>
          <w:rFonts w:hint="eastAsia"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级综测工作小组，班</w:t>
      </w:r>
      <w:r>
        <w:rPr>
          <w:rFonts w:hint="eastAsia" w:ascii="仿宋" w:hAnsi="仿宋" w:eastAsia="仿宋"/>
          <w:color w:val="000000" w:themeColor="text1"/>
          <w:spacing w:val="-14"/>
          <w:sz w:val="28"/>
          <w:szCs w:val="28"/>
          <w14:textFill>
            <w14:solidFill>
              <w14:schemeClr w14:val="tx1"/>
            </w14:solidFill>
          </w14:textFill>
        </w:rPr>
        <w:t>长（各班第一负责人）任组长，负责本班级</w:t>
      </w:r>
      <w:r>
        <w:rPr>
          <w:rFonts w:hint="eastAsia"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全体同学综测加分的评定和</w:t>
      </w:r>
      <w:r>
        <w:rPr>
          <w:rFonts w:hint="eastAsia" w:ascii="仿宋" w:hAnsi="仿宋" w:eastAsia="仿宋"/>
          <w:color w:val="000000" w:themeColor="text1"/>
          <w:spacing w:val="-21"/>
          <w:sz w:val="28"/>
          <w:szCs w:val="28"/>
          <w14:textFill>
            <w14:solidFill>
              <w14:schemeClr w14:val="tx1"/>
            </w14:solidFill>
          </w14:textFill>
        </w:rPr>
        <w:t>班内公示；各班综测工作小组的</w:t>
      </w:r>
      <w:r>
        <w:rPr>
          <w:rFonts w:hint="eastAsia"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成员组成年级综测</w:t>
      </w:r>
      <w:r>
        <w:rPr>
          <w:rFonts w:hint="eastAsia" w:ascii="仿宋" w:hAnsi="仿宋" w:eastAsia="仿宋"/>
          <w:color w:val="000000" w:themeColor="text1"/>
          <w:spacing w:val="-14"/>
          <w:sz w:val="28"/>
          <w:szCs w:val="28"/>
          <w14:textFill>
            <w14:solidFill>
              <w14:schemeClr w14:val="tx1"/>
            </w14:solidFill>
          </w14:textFill>
        </w:rPr>
        <w:t>工作小组，负责本年级各班级综测结果的审议、公示、年</w:t>
      </w:r>
      <w:r>
        <w:rPr>
          <w:rFonts w:hint="eastAsia" w:ascii="仿宋" w:hAnsi="仿宋" w:eastAsia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级内部对于综测</w:t>
      </w:r>
      <w:r>
        <w:rPr>
          <w:rFonts w:hint="eastAsia" w:ascii="仿宋" w:hAnsi="仿宋" w:eastAsia="仿宋"/>
          <w:color w:val="000000" w:themeColor="text1"/>
          <w:spacing w:val="-19"/>
          <w:sz w:val="28"/>
          <w:szCs w:val="28"/>
          <w14:textFill>
            <w14:solidFill>
              <w14:schemeClr w14:val="tx1"/>
            </w14:solidFill>
          </w14:textFill>
        </w:rPr>
        <w:t>加分相关问题的研讨和上报。学</w:t>
      </w:r>
      <w:r>
        <w:rPr>
          <w:rFonts w:hint="eastAsia" w:ascii="仿宋" w:hAnsi="仿宋" w:eastAsia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生工作</w:t>
      </w:r>
      <w:r>
        <w:rPr>
          <w:rFonts w:hint="eastAsia"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办公室（以下统一简称“学工办”）负责统筹各年级综测结果</w:t>
      </w:r>
      <w:r>
        <w:rPr>
          <w:rFonts w:hint="eastAsia" w:ascii="仿宋" w:hAnsi="仿宋" w:eastAsia="仿宋"/>
          <w:color w:val="000000" w:themeColor="text1"/>
          <w:spacing w:val="-14"/>
          <w:sz w:val="28"/>
          <w:szCs w:val="28"/>
          <w14:textFill>
            <w14:solidFill>
              <w14:schemeClr w14:val="tx1"/>
            </w14:solidFill>
          </w14:textFill>
        </w:rPr>
        <w:t>和相关问题研讨、上报。各级小组成员应实事求是、严谨仔细，并对</w:t>
      </w:r>
      <w:r>
        <w:rPr>
          <w:rFonts w:hint="eastAsia"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综测工作的准确性、公正性负责。</w:t>
      </w:r>
    </w:p>
    <w:p w14:paraId="3549C465">
      <w:pPr>
        <w:pStyle w:val="5"/>
        <w:spacing w:line="360" w:lineRule="auto"/>
        <w:ind w:left="0"/>
        <w:rPr>
          <w:rFonts w:ascii="仿宋" w:hAnsi="仿宋" w:eastAsia="仿宋"/>
          <w:color w:val="000000" w:themeColor="text1"/>
          <w:sz w:val="26"/>
          <w14:textFill>
            <w14:solidFill>
              <w14:schemeClr w14:val="tx1"/>
            </w14:solidFill>
          </w14:textFill>
        </w:rPr>
      </w:pPr>
    </w:p>
    <w:p w14:paraId="6A002165">
      <w:pPr>
        <w:pStyle w:val="3"/>
        <w:spacing w:before="0" w:beforeLines="0" w:after="0" w:afterLine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第二章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综测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标准</w:t>
      </w:r>
    </w:p>
    <w:p w14:paraId="220DFD34">
      <w:pPr>
        <w:pStyle w:val="5"/>
        <w:spacing w:line="360" w:lineRule="auto"/>
        <w:ind w:left="0" w:firstLine="55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 xml:space="preserve">第四条 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成绩等于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课程成绩平均绩点（裸绩）</w:t>
      </w: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加分绩点之和</w:t>
      </w:r>
      <w:r>
        <w:rPr>
          <w:rFonts w:ascii="仿宋" w:hAnsi="仿宋" w:eastAsia="仿宋"/>
          <w:color w:val="000000" w:themeColor="text1"/>
          <w:spacing w:val="-14"/>
          <w:sz w:val="28"/>
          <w:szCs w:val="28"/>
          <w14:textFill>
            <w14:solidFill>
              <w14:schemeClr w14:val="tx1"/>
            </w14:solidFill>
          </w14:textFill>
        </w:rPr>
        <w:t>。其中，</w:t>
      </w:r>
      <w:r>
        <w:rPr>
          <w:rFonts w:hint="eastAsia" w:ascii="仿宋" w:hAnsi="仿宋" w:eastAsia="仿宋"/>
          <w:color w:val="000000" w:themeColor="text1"/>
          <w:spacing w:val="-14"/>
          <w:sz w:val="28"/>
          <w:szCs w:val="28"/>
          <w14:textFill>
            <w14:solidFill>
              <w14:schemeClr w14:val="tx1"/>
            </w14:solidFill>
          </w14:textFill>
        </w:rPr>
        <w:t>课程成绩平均绩点（裸绩）</w:t>
      </w:r>
      <w:r>
        <w:rPr>
          <w:rFonts w:ascii="仿宋" w:hAnsi="仿宋" w:eastAsia="仿宋"/>
          <w:color w:val="000000" w:themeColor="text1"/>
          <w:spacing w:val="-14"/>
          <w:sz w:val="28"/>
          <w:szCs w:val="28"/>
          <w14:textFill>
            <w14:solidFill>
              <w14:schemeClr w14:val="tx1"/>
            </w14:solidFill>
          </w14:textFill>
        </w:rPr>
        <w:t>为学院本科教务办公室提</w:t>
      </w: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供的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必专课程成绩平均绩点</w:t>
      </w: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，核算</w:t>
      </w:r>
      <w:r>
        <w:rPr>
          <w:rFonts w:hint="eastAsia"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课程包括</w:t>
      </w: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公共必修课、专业必修课和专业选修课三部分。</w:t>
      </w:r>
      <w:r>
        <w:rPr>
          <w:rFonts w:hint="eastAsia"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加分绩点=总加分值÷10*0.05</w:t>
      </w:r>
      <w:r>
        <w:rPr>
          <w:rFonts w:ascii="仿宋" w:hAnsi="仿宋" w:eastAsia="仿宋"/>
          <w:color w:val="000000" w:themeColor="text1"/>
          <w:spacing w:val="-2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加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分不得超过</w:t>
      </w:r>
      <w:r>
        <w:rPr>
          <w:rFonts w:hint="eastAsia"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裸绩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的20%，加分上限为0.5，如绩点在2.5</w:t>
      </w:r>
      <w:r>
        <w:rPr>
          <w:rFonts w:ascii="仿宋" w:hAnsi="仿宋" w:eastAsia="仿宋"/>
          <w:color w:val="000000" w:themeColor="text1"/>
          <w:spacing w:val="-42"/>
          <w:sz w:val="28"/>
          <w:szCs w:val="28"/>
          <w14:textFill>
            <w14:solidFill>
              <w14:schemeClr w14:val="tx1"/>
            </w14:solidFill>
          </w14:textFill>
        </w:rPr>
        <w:t>以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上，</w:t>
      </w:r>
      <w:r>
        <w:rPr>
          <w:rFonts w:hint="eastAsia"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加分绩</w:t>
      </w:r>
      <w:r>
        <w:rPr>
          <w:rFonts w:ascii="仿宋" w:hAnsi="仿宋" w:eastAsia="仿宋"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点上限为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0.5</w:t>
      </w:r>
      <w:r>
        <w:rPr>
          <w:rFonts w:ascii="仿宋" w:hAnsi="仿宋" w:eastAsia="仿宋"/>
          <w:color w:val="000000" w:themeColor="text1"/>
          <w:spacing w:val="-13"/>
          <w:sz w:val="28"/>
          <w:szCs w:val="28"/>
          <w14:textFill>
            <w14:solidFill>
              <w14:schemeClr w14:val="tx1"/>
            </w14:solidFill>
          </w14:textFill>
        </w:rPr>
        <w:t>，如绩点低于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2.5，则</w:t>
      </w:r>
      <w:r>
        <w:rPr>
          <w:rFonts w:hint="eastAsia"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加分上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限为</w:t>
      </w:r>
      <w:r>
        <w:rPr>
          <w:rFonts w:hint="eastAsia"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课程成绩平均绩点（裸绩）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*20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且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加分后所</w:t>
      </w:r>
      <w:r>
        <w:rPr>
          <w:rFonts w:hint="eastAsia"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获中山大学优秀学生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奖学金等级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最多只能较加分</w:t>
      </w:r>
      <w:r>
        <w:rPr>
          <w:rFonts w:ascii="仿宋" w:hAnsi="仿宋" w:eastAsia="仿宋"/>
          <w:color w:val="000000" w:themeColor="text1"/>
          <w:spacing w:val="-13"/>
          <w:sz w:val="28"/>
          <w:szCs w:val="28"/>
          <w14:textFill>
            <w14:solidFill>
              <w14:schemeClr w14:val="tx1"/>
            </w14:solidFill>
          </w14:textFill>
        </w:rPr>
        <w:t>前所能获得奖学金等级上调一级，例如，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加分前不能</w:t>
      </w: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获得三等奖的，通过</w:t>
      </w:r>
      <w:r>
        <w:rPr>
          <w:rFonts w:hint="eastAsia"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加分后最多只能获三等奖，依次类推。</w:t>
      </w:r>
    </w:p>
    <w:p w14:paraId="0DB781BF">
      <w:pPr>
        <w:pStyle w:val="5"/>
        <w:spacing w:line="360" w:lineRule="auto"/>
        <w:ind w:left="0" w:firstLine="538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第五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总加分为管理学院本科生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加</w:t>
      </w: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分的所有二级指标之和，以学生实际参与各类活动情况</w:t>
      </w:r>
      <w:r>
        <w:rPr>
          <w:rFonts w:hint="eastAsia"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包括相关考核成绩、活动证明</w:t>
      </w:r>
      <w:r>
        <w:rPr>
          <w:rFonts w:hint="eastAsia"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及所获得的荣誉、奖励作为主要测评依据。相关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标准如下</w:t>
      </w:r>
      <w:r>
        <w:rPr>
          <w:rFonts w:hint="eastAsia"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53F9254C">
      <w:pPr>
        <w:pStyle w:val="5"/>
        <w:spacing w:line="360" w:lineRule="auto"/>
        <w:ind w:left="0" w:firstLine="536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(一</w:t>
      </w:r>
      <w:r>
        <w:rPr>
          <w:rFonts w:ascii="仿宋" w:hAnsi="仿宋" w:eastAsia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 w:ascii="仿宋" w:hAnsi="仿宋" w:eastAsia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加分指标具体内容见于附件1《管理学院学生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加分标准》</w:t>
      </w:r>
      <w:r>
        <w:rPr>
          <w:rFonts w:hint="eastAsia"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818B532">
      <w:pPr>
        <w:pStyle w:val="5"/>
        <w:spacing w:line="360" w:lineRule="auto"/>
        <w:ind w:left="0" w:firstLine="528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(二) 各二级指标内，加分最多不超过各二级指标所设置的最高</w:t>
      </w:r>
      <w:r>
        <w:rPr>
          <w:rFonts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分。每位学生申请的加分总值上限为100</w:t>
      </w:r>
      <w:r>
        <w:rPr>
          <w:rFonts w:ascii="仿宋" w:hAnsi="仿宋" w:eastAsia="仿宋"/>
          <w:color w:val="000000" w:themeColor="text1"/>
          <w:spacing w:val="-28"/>
          <w:sz w:val="28"/>
          <w:szCs w:val="28"/>
          <w14:textFill>
            <w14:solidFill>
              <w14:schemeClr w14:val="tx1"/>
            </w14:solidFill>
          </w14:textFill>
        </w:rPr>
        <w:t>分，即学生</w:t>
      </w:r>
      <w:r>
        <w:rPr>
          <w:rFonts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若累计加分超过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100</w:t>
      </w:r>
      <w:r>
        <w:rPr>
          <w:rFonts w:ascii="仿宋" w:hAnsi="仿宋" w:eastAsia="仿宋"/>
          <w:color w:val="000000" w:themeColor="text1"/>
          <w:spacing w:val="-40"/>
          <w:sz w:val="28"/>
          <w:szCs w:val="28"/>
          <w14:textFill>
            <w14:solidFill>
              <w14:schemeClr w14:val="tx1"/>
            </w14:solidFill>
          </w14:textFill>
        </w:rPr>
        <w:t>分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按100</w:t>
      </w:r>
      <w:r>
        <w:rPr>
          <w:rFonts w:ascii="仿宋" w:hAnsi="仿宋" w:eastAsia="仿宋"/>
          <w:color w:val="000000" w:themeColor="text1"/>
          <w:spacing w:val="-40"/>
          <w:sz w:val="28"/>
          <w:szCs w:val="28"/>
          <w14:textFill>
            <w14:solidFill>
              <w14:schemeClr w14:val="tx1"/>
            </w14:solidFill>
          </w14:textFill>
        </w:rPr>
        <w:t>分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计算</w:t>
      </w:r>
      <w:r>
        <w:rPr>
          <w:rFonts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06EBF7D0">
      <w:pPr>
        <w:pStyle w:val="5"/>
        <w:spacing w:line="360" w:lineRule="auto"/>
        <w:ind w:left="0" w:firstLine="528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(三) 学生申请加分需提交带有主办方或学校、学院印章或其他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有公信力的证明材料。</w:t>
      </w:r>
    </w:p>
    <w:p w14:paraId="258EA654">
      <w:pPr>
        <w:pStyle w:val="5"/>
        <w:spacing w:line="360" w:lineRule="auto"/>
        <w:ind w:left="0" w:firstLine="536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(四</w:t>
      </w:r>
      <w:r>
        <w:rPr>
          <w:rFonts w:ascii="仿宋" w:hAnsi="仿宋" w:eastAsia="仿宋"/>
          <w:color w:val="000000" w:themeColor="text1"/>
          <w:spacing w:val="-15"/>
          <w:sz w:val="28"/>
          <w:szCs w:val="28"/>
          <w14:textFill>
            <w14:solidFill>
              <w14:schemeClr w14:val="tx1"/>
            </w14:solidFill>
          </w14:textFill>
        </w:rPr>
        <w:t>) 对</w:t>
      </w: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于本方案未列入加分内容的发展性素质项目及特殊情况，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由个人或班级向班级或年级提出加分申请，年级提交给学院</w:t>
      </w:r>
      <w:r>
        <w:rPr>
          <w:rFonts w:ascii="仿宋" w:hAnsi="仿宋" w:eastAsia="仿宋"/>
          <w:color w:val="000000" w:themeColor="text1"/>
          <w:spacing w:val="-65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学院视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情况决定是否加分。</w:t>
      </w:r>
    </w:p>
    <w:p w14:paraId="6C8FAE18">
      <w:pPr>
        <w:spacing w:line="360" w:lineRule="auto"/>
        <w:ind w:firstLine="562" w:firstLineChars="200"/>
        <w:jc w:val="both"/>
        <w:rPr>
          <w:rFonts w:ascii="仿宋" w:hAnsi="仿宋" w:eastAsia="仿宋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第六</w:t>
      </w:r>
      <w:r>
        <w:rPr>
          <w:rFonts w:hint="eastAsia" w:ascii="仿宋" w:hAnsi="仿宋" w:eastAsia="仿宋"/>
          <w:b/>
          <w:color w:val="000000" w:themeColor="text1"/>
          <w:spacing w:val="-8"/>
          <w:sz w:val="28"/>
          <w:szCs w:val="21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ascii="仿宋" w:hAnsi="仿宋" w:eastAsia="仿宋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申请奖学金的基</w:t>
      </w:r>
      <w:r>
        <w:rPr>
          <w:rFonts w:ascii="仿宋" w:hAnsi="仿宋" w:eastAsia="仿宋"/>
          <w:color w:val="000000" w:themeColor="text1"/>
          <w:spacing w:val="-3"/>
          <w:sz w:val="28"/>
          <w:szCs w:val="21"/>
          <w14:textFill>
            <w14:solidFill>
              <w14:schemeClr w14:val="tx1"/>
            </w14:solidFill>
          </w14:textFill>
        </w:rPr>
        <w:t>本要求：</w:t>
      </w:r>
    </w:p>
    <w:p w14:paraId="5F16B6CB">
      <w:pPr>
        <w:pStyle w:val="5"/>
        <w:spacing w:line="360" w:lineRule="auto"/>
        <w:ind w:left="0" w:firstLine="528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Fonts w:ascii="仿宋" w:hAnsi="仿宋" w:eastAsia="仿宋"/>
          <w:color w:val="000000" w:themeColor="text1"/>
          <w:spacing w:val="-13"/>
          <w:sz w:val="28"/>
          <w:szCs w:val="28"/>
          <w14:textFill>
            <w14:solidFill>
              <w14:schemeClr w14:val="tx1"/>
            </w14:solidFill>
          </w14:textFill>
        </w:rPr>
        <w:t xml:space="preserve"> 遵</w:t>
      </w: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守宪法和法律，热爱社会主义中国，拥护中国共产党</w:t>
      </w:r>
      <w:r>
        <w:rPr>
          <w:rFonts w:ascii="仿宋" w:hAnsi="仿宋" w:eastAsia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的领导；</w:t>
      </w:r>
    </w:p>
    <w:p w14:paraId="056F6F21">
      <w:pPr>
        <w:pStyle w:val="5"/>
        <w:spacing w:line="360" w:lineRule="auto"/>
        <w:ind w:left="0" w:firstLine="536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ascii="仿宋" w:hAnsi="仿宋" w:eastAsia="仿宋"/>
          <w:color w:val="000000" w:themeColor="text1"/>
          <w:spacing w:val="-11"/>
          <w:sz w:val="28"/>
          <w:szCs w:val="28"/>
          <w14:textFill>
            <w14:solidFill>
              <w14:schemeClr w14:val="tx1"/>
            </w14:solidFill>
          </w14:textFill>
        </w:rPr>
        <w:t xml:space="preserve"> 遵</w:t>
      </w: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守学校规章制</w:t>
      </w: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度；</w:t>
      </w:r>
    </w:p>
    <w:p w14:paraId="1F06EF40">
      <w:pPr>
        <w:pStyle w:val="5"/>
        <w:spacing w:line="360" w:lineRule="auto"/>
        <w:ind w:left="0" w:firstLine="528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（三）</w:t>
      </w:r>
      <w:r>
        <w:rPr>
          <w:rFonts w:ascii="仿宋" w:hAnsi="仿宋" w:eastAsia="仿宋"/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 xml:space="preserve"> 尊</w:t>
      </w: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师爱校，无损害学校声誉的言行</w:t>
      </w:r>
      <w:r>
        <w:rPr>
          <w:rFonts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68152ECF">
      <w:pPr>
        <w:pStyle w:val="5"/>
        <w:spacing w:line="360" w:lineRule="auto"/>
        <w:ind w:left="0" w:firstLine="528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（四）</w:t>
      </w:r>
      <w:r>
        <w:rPr>
          <w:rFonts w:ascii="仿宋" w:hAnsi="仿宋" w:eastAsia="仿宋"/>
          <w:color w:val="000000" w:themeColor="text1"/>
          <w:spacing w:val="-13"/>
          <w:sz w:val="28"/>
          <w:szCs w:val="28"/>
          <w14:textFill>
            <w14:solidFill>
              <w14:schemeClr w14:val="tx1"/>
            </w14:solidFill>
          </w14:textFill>
        </w:rPr>
        <w:t xml:space="preserve"> 孝</w:t>
      </w: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敬父母，诚实</w:t>
      </w:r>
      <w:r>
        <w:rPr>
          <w:rFonts w:ascii="仿宋" w:hAnsi="仿宋" w:eastAsia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>守信，遵守社会公德；</w:t>
      </w:r>
    </w:p>
    <w:p w14:paraId="0FB19CC2">
      <w:pPr>
        <w:pStyle w:val="5"/>
        <w:spacing w:line="360" w:lineRule="auto"/>
        <w:ind w:left="0" w:firstLine="528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（五）</w:t>
      </w:r>
      <w:r>
        <w:rPr>
          <w:rFonts w:ascii="仿宋" w:hAnsi="仿宋" w:eastAsia="仿宋"/>
          <w:color w:val="000000" w:themeColor="text1"/>
          <w:spacing w:val="-13"/>
          <w:sz w:val="28"/>
          <w:szCs w:val="28"/>
          <w14:textFill>
            <w14:solidFill>
              <w14:schemeClr w14:val="tx1"/>
            </w14:solidFill>
          </w14:textFill>
        </w:rPr>
        <w:t xml:space="preserve"> 刻</w:t>
      </w:r>
      <w:r>
        <w:rPr>
          <w:rFonts w:ascii="仿宋" w:hAnsi="仿宋" w:eastAsia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苦学习，勇于探索，积极实践，努力掌握现代科学文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化知识和专业技能，评选年度内无不及格科目</w:t>
      </w:r>
      <w:r>
        <w:rPr>
          <w:rFonts w:hint="eastAsia"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（申请院级奖学金需评选年度无缓考、缓修科目）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2BD784FC">
      <w:pPr>
        <w:pStyle w:val="5"/>
        <w:spacing w:line="360" w:lineRule="auto"/>
        <w:ind w:left="0" w:firstLine="504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14"/>
          <w:sz w:val="28"/>
          <w:szCs w:val="28"/>
          <w14:textFill>
            <w14:solidFill>
              <w14:schemeClr w14:val="tx1"/>
            </w14:solidFill>
          </w14:textFill>
        </w:rPr>
        <w:t>（六）</w:t>
      </w:r>
      <w:r>
        <w:rPr>
          <w:rFonts w:ascii="仿宋" w:hAnsi="仿宋" w:eastAsia="仿宋"/>
          <w:color w:val="000000" w:themeColor="text1"/>
          <w:spacing w:val="-33"/>
          <w:sz w:val="28"/>
          <w:szCs w:val="28"/>
          <w14:textFill>
            <w14:solidFill>
              <w14:schemeClr w14:val="tx1"/>
            </w14:solidFill>
          </w14:textFill>
        </w:rPr>
        <w:t xml:space="preserve"> 关</w:t>
      </w:r>
      <w:r>
        <w:rPr>
          <w:rFonts w:ascii="仿宋" w:hAnsi="仿宋" w:eastAsia="仿宋"/>
          <w:color w:val="000000" w:themeColor="text1"/>
          <w:spacing w:val="-14"/>
          <w:sz w:val="28"/>
          <w:szCs w:val="28"/>
          <w14:textFill>
            <w14:solidFill>
              <w14:schemeClr w14:val="tx1"/>
            </w14:solidFill>
          </w14:textFill>
        </w:rPr>
        <w:t>心集体，团结</w:t>
      </w:r>
      <w:r>
        <w:rPr>
          <w:rFonts w:ascii="仿宋" w:hAnsi="仿宋" w:eastAsia="仿宋"/>
          <w:color w:val="000000" w:themeColor="text1"/>
          <w:spacing w:val="-22"/>
          <w:sz w:val="28"/>
          <w:szCs w:val="28"/>
          <w14:textFill>
            <w14:solidFill>
              <w14:schemeClr w14:val="tx1"/>
            </w14:solidFill>
          </w14:textFill>
        </w:rPr>
        <w:t>同学，热心助人，积极参</w:t>
      </w:r>
      <w:r>
        <w:rPr>
          <w:rFonts w:ascii="仿宋" w:hAnsi="仿宋" w:eastAsia="仿宋"/>
          <w:color w:val="000000" w:themeColor="text1"/>
          <w:spacing w:val="-14"/>
          <w:sz w:val="28"/>
          <w:szCs w:val="28"/>
          <w14:textFill>
            <w14:solidFill>
              <w14:schemeClr w14:val="tx1"/>
            </w14:solidFill>
          </w14:textFill>
        </w:rPr>
        <w:t>加学校</w:t>
      </w:r>
      <w:r>
        <w:rPr>
          <w:rFonts w:ascii="仿宋" w:hAnsi="仿宋" w:eastAsia="仿宋"/>
          <w:color w:val="000000" w:themeColor="text1"/>
          <w:spacing w:val="-65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color w:val="000000" w:themeColor="text1"/>
          <w:spacing w:val="-14"/>
          <w:sz w:val="28"/>
          <w:szCs w:val="28"/>
          <w14:textFill>
            <w14:solidFill>
              <w14:schemeClr w14:val="tx1"/>
            </w14:solidFill>
          </w14:textFill>
        </w:rPr>
        <w:t>班级、</w:t>
      </w:r>
      <w:r>
        <w:rPr>
          <w:rFonts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宿舍等集体活动，积极参加公益活动，该学年公益时数</w:t>
      </w:r>
      <w:r>
        <w:rPr>
          <w:rFonts w:hint="eastAsia"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 xml:space="preserve">50 </w:t>
      </w:r>
      <w:r>
        <w:rPr>
          <w:rFonts w:ascii="仿宋" w:hAnsi="仿宋" w:eastAsia="仿宋"/>
          <w:color w:val="000000" w:themeColor="text1"/>
          <w:spacing w:val="-35"/>
          <w:sz w:val="28"/>
          <w:szCs w:val="28"/>
          <w14:textFill>
            <w14:solidFill>
              <w14:schemeClr w14:val="tx1"/>
            </w14:solidFill>
          </w14:textFill>
        </w:rPr>
        <w:t>小</w:t>
      </w:r>
      <w:r>
        <w:rPr>
          <w:rFonts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时或无</w:t>
      </w: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偿献血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ascii="仿宋" w:hAnsi="仿宋" w:eastAsia="仿宋"/>
          <w:color w:val="000000" w:themeColor="text1"/>
          <w:spacing w:val="-39"/>
          <w:sz w:val="28"/>
          <w:szCs w:val="28"/>
          <w14:textFill>
            <w14:solidFill>
              <w14:schemeClr w14:val="tx1"/>
            </w14:solidFill>
          </w14:textFill>
        </w:rPr>
        <w:t>次</w:t>
      </w: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（本科期间无偿献血仅可作为</w:t>
      </w:r>
      <w:r>
        <w:rPr>
          <w:rFonts w:hint="eastAsia"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ascii="仿宋" w:hAnsi="仿宋" w:eastAsia="仿宋"/>
          <w:color w:val="000000" w:themeColor="text1"/>
          <w:spacing w:val="-40"/>
          <w:sz w:val="28"/>
          <w:szCs w:val="28"/>
          <w14:textFill>
            <w14:solidFill>
              <w14:schemeClr w14:val="tx1"/>
            </w14:solidFill>
          </w14:textFill>
        </w:rPr>
        <w:t>次</w:t>
      </w:r>
      <w:r>
        <w:rPr>
          <w:rFonts w:ascii="仿宋" w:hAnsi="仿宋" w:eastAsia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参评条件</w:t>
      </w:r>
      <w:r>
        <w:rPr>
          <w:rFonts w:ascii="仿宋" w:hAnsi="仿宋" w:eastAsia="仿宋"/>
          <w:color w:val="000000" w:themeColor="text1"/>
          <w:spacing w:val="-156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06158E78">
      <w:pPr>
        <w:pStyle w:val="5"/>
        <w:spacing w:line="360" w:lineRule="auto"/>
        <w:ind w:left="0" w:firstLine="52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（七）</w:t>
      </w:r>
      <w:r>
        <w:rPr>
          <w:rFonts w:ascii="仿宋" w:hAnsi="仿宋" w:eastAsia="仿宋"/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 xml:space="preserve"> 积</w:t>
      </w:r>
      <w:r>
        <w:rPr>
          <w:rFonts w:ascii="仿宋" w:hAnsi="仿宋" w:eastAsia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极锻炼身体，身心健康，学生体质健康测试合格；</w:t>
      </w:r>
    </w:p>
    <w:p w14:paraId="040739AF">
      <w:pPr>
        <w:pStyle w:val="5"/>
        <w:spacing w:line="360" w:lineRule="auto"/>
        <w:ind w:left="0" w:firstLine="552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（八）</w:t>
      </w:r>
      <w:r>
        <w:rPr>
          <w:rFonts w:ascii="仿宋" w:hAnsi="仿宋" w:eastAsia="仿宋"/>
          <w:color w:val="000000" w:themeColor="text1"/>
          <w:spacing w:val="-18"/>
          <w:sz w:val="28"/>
          <w:szCs w:val="28"/>
          <w14:textFill>
            <w14:solidFill>
              <w14:schemeClr w14:val="tx1"/>
            </w14:solidFill>
          </w14:textFill>
        </w:rPr>
        <w:t xml:space="preserve"> 评</w:t>
      </w:r>
      <w:r>
        <w:rPr>
          <w:rFonts w:ascii="仿宋" w:hAnsi="仿宋" w:eastAsia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奖年度未受学校通报批评或违纪处分。评奖年度受处</w:t>
      </w:r>
      <w:r>
        <w:rPr>
          <w:rFonts w:ascii="仿宋" w:hAnsi="仿宋" w:eastAsia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分且下一年度解</w:t>
      </w:r>
      <w:r>
        <w:rPr>
          <w:rFonts w:ascii="仿宋" w:hAnsi="仿宋" w:eastAsia="仿宋"/>
          <w:color w:val="000000" w:themeColor="text1"/>
          <w:spacing w:val="-29"/>
          <w:sz w:val="28"/>
          <w:szCs w:val="28"/>
          <w14:textFill>
            <w14:solidFill>
              <w14:schemeClr w14:val="tx1"/>
            </w14:solidFill>
          </w14:textFill>
        </w:rPr>
        <w:t>除处分的，只影响本年度评奖，不影响下</w:t>
      </w:r>
      <w:r>
        <w:rPr>
          <w:rFonts w:ascii="仿宋" w:hAnsi="仿宋" w:eastAsia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一年度评奖。</w:t>
      </w:r>
    </w:p>
    <w:p w14:paraId="243CA8DF">
      <w:pPr>
        <w:pStyle w:val="5"/>
        <w:spacing w:line="360" w:lineRule="auto"/>
        <w:ind w:left="0" w:firstLine="512" w:firstLineChars="200"/>
        <w:jc w:val="both"/>
        <w:rPr>
          <w:rFonts w:ascii="仿宋" w:hAnsi="仿宋" w:eastAsia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除上述条件外</w:t>
      </w:r>
      <w:r>
        <w:rPr>
          <w:rFonts w:ascii="仿宋" w:hAnsi="仿宋" w:eastAsia="仿宋"/>
          <w:color w:val="000000" w:themeColor="text1"/>
          <w:spacing w:val="-22"/>
          <w:sz w:val="28"/>
          <w:szCs w:val="28"/>
          <w14:textFill>
            <w14:solidFill>
              <w14:schemeClr w14:val="tx1"/>
            </w14:solidFill>
          </w14:textFill>
        </w:rPr>
        <w:t>，申请各类奖学金还需符合该项奖学金</w:t>
      </w:r>
      <w:r>
        <w:rPr>
          <w:rFonts w:ascii="仿宋" w:hAnsi="仿宋" w:eastAsia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的特定条件。</w:t>
      </w:r>
    </w:p>
    <w:p w14:paraId="462732A0">
      <w:pPr>
        <w:pStyle w:val="5"/>
        <w:spacing w:line="360" w:lineRule="auto"/>
        <w:ind w:left="0" w:firstLine="58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68CE0621">
      <w:pPr>
        <w:pStyle w:val="3"/>
        <w:spacing w:before="0" w:beforeLines="0" w:after="0" w:afterLine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第三章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综测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流程</w:t>
      </w:r>
    </w:p>
    <w:p w14:paraId="42CE104E">
      <w:pPr>
        <w:spacing w:line="360" w:lineRule="auto"/>
        <w:ind w:firstLine="574" w:firstLineChars="200"/>
        <w:rPr>
          <w:rFonts w:ascii="仿宋" w:hAnsi="仿宋" w:eastAsia="仿宋"/>
          <w:color w:val="000000" w:themeColor="text1"/>
          <w:sz w:val="29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2"/>
          <w:sz w:val="29"/>
          <w14:textFill>
            <w14:solidFill>
              <w14:schemeClr w14:val="tx1"/>
            </w14:solidFill>
          </w14:textFill>
        </w:rPr>
        <w:t>第七</w:t>
      </w:r>
      <w:r>
        <w:rPr>
          <w:rFonts w:hint="eastAsia" w:ascii="仿宋" w:hAnsi="仿宋" w:eastAsia="仿宋"/>
          <w:b/>
          <w:color w:val="000000" w:themeColor="text1"/>
          <w:spacing w:val="-5"/>
          <w:sz w:val="29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" w:hAnsi="仿宋" w:eastAsia="仿宋"/>
          <w:color w:val="000000" w:themeColor="text1"/>
          <w:spacing w:val="-2"/>
          <w:sz w:val="29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2"/>
          <w:sz w:val="29"/>
          <w14:textFill>
            <w14:solidFill>
              <w14:schemeClr w14:val="tx1"/>
            </w14:solidFill>
          </w14:textFill>
        </w:rPr>
        <w:t>的工作</w:t>
      </w:r>
      <w:r>
        <w:rPr>
          <w:rFonts w:ascii="仿宋" w:hAnsi="仿宋" w:eastAsia="仿宋"/>
          <w:color w:val="000000" w:themeColor="text1"/>
          <w:spacing w:val="-4"/>
          <w:sz w:val="29"/>
          <w14:textFill>
            <w14:solidFill>
              <w14:schemeClr w14:val="tx1"/>
            </w14:solidFill>
          </w14:textFill>
        </w:rPr>
        <w:t>总流程如下：</w:t>
      </w:r>
    </w:p>
    <w:p w14:paraId="765464E3">
      <w:pPr>
        <w:pStyle w:val="5"/>
        <w:spacing w:line="360" w:lineRule="auto"/>
        <w:ind w:left="0" w:firstLine="548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8"/>
          <w14:textFill>
            <w14:solidFill>
              <w14:schemeClr w14:val="tx1"/>
            </w14:solidFill>
          </w14:textFill>
        </w:rPr>
        <w:t xml:space="preserve">（一） </w:t>
      </w:r>
      <w:r>
        <w:rPr>
          <w:rFonts w:hint="eastAsia" w:ascii="仿宋" w:hAnsi="仿宋" w:eastAsia="仿宋"/>
          <w:b/>
          <w:color w:val="000000" w:themeColor="text1"/>
          <w:spacing w:val="-8"/>
          <w14:textFill>
            <w14:solidFill>
              <w14:schemeClr w14:val="tx1"/>
            </w14:solidFill>
          </w14:textFill>
        </w:rPr>
        <w:t>发布通知</w:t>
      </w:r>
      <w:r>
        <w:rPr>
          <w:rFonts w:ascii="仿宋" w:hAnsi="仿宋" w:eastAsia="仿宋"/>
          <w:color w:val="000000" w:themeColor="text1"/>
          <w:spacing w:val="-8"/>
          <w14:textFill>
            <w14:solidFill>
              <w14:schemeClr w14:val="tx1"/>
            </w14:solidFill>
          </w14:textFill>
        </w:rPr>
        <w:t>：根据学校通知，学院学工办发布</w:t>
      </w:r>
      <w:r>
        <w:rPr>
          <w:rFonts w:hint="eastAsia" w:ascii="仿宋" w:hAnsi="仿宋" w:eastAsia="仿宋"/>
          <w:color w:val="000000" w:themeColor="text1"/>
          <w:spacing w:val="-8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4"/>
          <w14:textFill>
            <w14:solidFill>
              <w14:schemeClr w14:val="tx1"/>
            </w14:solidFill>
          </w14:textFill>
        </w:rPr>
        <w:t>工作通知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；</w:t>
      </w:r>
    </w:p>
    <w:p w14:paraId="1EAF4F87">
      <w:pPr>
        <w:spacing w:line="360" w:lineRule="auto"/>
        <w:ind w:firstLine="548" w:firstLineChars="200"/>
        <w:rPr>
          <w:rFonts w:ascii="仿宋" w:hAnsi="仿宋" w:eastAsia="仿宋"/>
          <w:color w:val="000000" w:themeColor="text1"/>
          <w:spacing w:val="-8"/>
          <w:sz w:val="29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8"/>
          <w:sz w:val="29"/>
          <w14:textFill>
            <w14:solidFill>
              <w14:schemeClr w14:val="tx1"/>
            </w14:solidFill>
          </w14:textFill>
        </w:rPr>
        <w:t>（二）</w:t>
      </w:r>
      <w:r>
        <w:rPr>
          <w:rFonts w:ascii="仿宋" w:hAnsi="仿宋" w:eastAsia="仿宋"/>
          <w:color w:val="000000" w:themeColor="text1"/>
          <w:spacing w:val="4"/>
          <w:sz w:val="29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pacing w:val="-8"/>
          <w:sz w:val="29"/>
          <w14:textFill>
            <w14:solidFill>
              <w14:schemeClr w14:val="tx1"/>
            </w14:solidFill>
          </w14:textFill>
        </w:rPr>
        <w:t>成立测评小组</w:t>
      </w:r>
      <w:r>
        <w:rPr>
          <w:rFonts w:ascii="仿宋" w:hAnsi="仿宋" w:eastAsia="仿宋"/>
          <w:color w:val="000000" w:themeColor="text1"/>
          <w:spacing w:val="-8"/>
          <w:sz w:val="29"/>
          <w14:textFill>
            <w14:solidFill>
              <w14:schemeClr w14:val="tx1"/>
            </w14:solidFill>
          </w14:textFill>
        </w:rPr>
        <w:t>：学工办组织各年级、班级成立</w:t>
      </w:r>
      <w:r>
        <w:rPr>
          <w:rFonts w:hint="eastAsia" w:ascii="仿宋" w:hAnsi="仿宋" w:eastAsia="仿宋"/>
          <w:color w:val="000000" w:themeColor="text1"/>
          <w:spacing w:val="-8"/>
          <w:sz w:val="29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8"/>
          <w:sz w:val="29"/>
          <w14:textFill>
            <w14:solidFill>
              <w14:schemeClr w14:val="tx1"/>
            </w14:solidFill>
          </w14:textFill>
        </w:rPr>
        <w:t>工作小组并公布小组成员名单；</w:t>
      </w:r>
    </w:p>
    <w:p w14:paraId="468AB9A5">
      <w:pPr>
        <w:pStyle w:val="5"/>
        <w:spacing w:line="360" w:lineRule="auto"/>
        <w:ind w:left="0" w:firstLine="544" w:firstLineChars="200"/>
        <w:jc w:val="both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9"/>
          <w14:textFill>
            <w14:solidFill>
              <w14:schemeClr w14:val="tx1"/>
            </w14:solidFill>
          </w14:textFill>
        </w:rPr>
        <w:t>（三）</w:t>
      </w:r>
      <w:r>
        <w:rPr>
          <w:rFonts w:ascii="仿宋" w:hAnsi="仿宋" w:eastAsia="仿宋"/>
          <w:color w:val="000000" w:themeColor="text1"/>
          <w:spacing w:val="-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pacing w:val="-9"/>
          <w14:textFill>
            <w14:solidFill>
              <w14:schemeClr w14:val="tx1"/>
            </w14:solidFill>
          </w14:textFill>
        </w:rPr>
        <w:t>班级测评（班级内部自评</w:t>
      </w:r>
      <w:r>
        <w:rPr>
          <w:rFonts w:hint="eastAsia" w:ascii="仿宋" w:hAnsi="仿宋" w:eastAsia="仿宋"/>
          <w:b/>
          <w:color w:val="000000" w:themeColor="text1"/>
          <w:spacing w:val="-97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pacing w:val="-25"/>
          <w14:textFill>
            <w14:solidFill>
              <w14:schemeClr w14:val="tx1"/>
            </w14:solidFill>
          </w14:textFill>
        </w:rPr>
        <w:t>：学生按照通</w:t>
      </w:r>
      <w:r>
        <w:rPr>
          <w:rFonts w:ascii="仿宋" w:hAnsi="仿宋" w:eastAsia="仿宋"/>
          <w:color w:val="000000" w:themeColor="text1"/>
          <w:spacing w:val="-9"/>
          <w14:textFill>
            <w14:solidFill>
              <w14:schemeClr w14:val="tx1"/>
            </w14:solidFill>
          </w14:textFill>
        </w:rPr>
        <w:t>知要求提交</w:t>
      </w:r>
      <w:r>
        <w:rPr>
          <w:rFonts w:hint="eastAsia" w:ascii="仿宋" w:hAnsi="仿宋" w:eastAsia="仿宋"/>
          <w:color w:val="000000" w:themeColor="text1"/>
          <w:spacing w:val="-9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材料至班级</w:t>
      </w:r>
      <w:r>
        <w:rPr>
          <w:rFonts w:ascii="仿宋" w:hAnsi="仿宋" w:eastAsia="仿宋"/>
          <w:color w:val="000000" w:themeColor="text1"/>
          <w:spacing w:val="-20"/>
          <w14:textFill>
            <w14:solidFill>
              <w14:schemeClr w14:val="tx1"/>
            </w14:solidFill>
          </w14:textFill>
        </w:rPr>
        <w:t>，原则上填写提交《中山大学管理学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加分</w:t>
      </w:r>
      <w:r>
        <w:rPr>
          <w:rFonts w:ascii="仿宋" w:hAnsi="仿宋" w:eastAsia="仿宋"/>
          <w:color w:val="000000" w:themeColor="text1"/>
          <w:spacing w:val="-14"/>
          <w14:textFill>
            <w14:solidFill>
              <w14:schemeClr w14:val="tx1"/>
            </w14:solidFill>
          </w14:textFill>
        </w:rPr>
        <w:t>汇总表》和相关证明材料，佐证材料于右上角写明对应的指标，按三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级指标顺序排列</w:t>
      </w:r>
      <w:r>
        <w:rPr>
          <w:rFonts w:ascii="仿宋" w:hAnsi="仿宋" w:eastAsia="仿宋"/>
          <w:color w:val="000000" w:themeColor="text1"/>
          <w:spacing w:val="-21"/>
          <w14:textFill>
            <w14:solidFill>
              <w14:schemeClr w14:val="tx1"/>
            </w14:solidFill>
          </w14:textFill>
        </w:rPr>
        <w:t>。根据每名同学的日常表现和相关证明，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12"/>
          <w14:textFill>
            <w14:solidFill>
              <w14:schemeClr w14:val="tx1"/>
            </w14:solidFill>
          </w14:textFill>
        </w:rPr>
        <w:t>工作小组成员按照附件</w:t>
      </w:r>
      <w:r>
        <w:rPr>
          <w:rFonts w:ascii="仿宋" w:hAnsi="仿宋" w:eastAsia="仿宋"/>
          <w:color w:val="000000" w:themeColor="text1"/>
          <w:spacing w:val="-80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spacing w:val="-12"/>
          <w14:textFill>
            <w14:solidFill>
              <w14:schemeClr w14:val="tx1"/>
            </w14:solidFill>
          </w14:textFill>
        </w:rPr>
        <w:t>《管理学院学生</w:t>
      </w:r>
      <w:r>
        <w:rPr>
          <w:rFonts w:hint="eastAsia" w:ascii="仿宋" w:hAnsi="仿宋" w:eastAsia="仿宋"/>
          <w:color w:val="000000" w:themeColor="text1"/>
          <w:spacing w:val="-12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12"/>
          <w14:textFill>
            <w14:solidFill>
              <w14:schemeClr w14:val="tx1"/>
            </w14:solidFill>
          </w14:textFill>
        </w:rPr>
        <w:t>加分标准</w:t>
      </w:r>
      <w:r>
        <w:rPr>
          <w:rFonts w:ascii="仿宋" w:hAnsi="仿宋" w:eastAsia="仿宋"/>
          <w:color w:val="000000" w:themeColor="text1"/>
          <w:spacing w:val="-92"/>
          <w14:textFill>
            <w14:solidFill>
              <w14:schemeClr w14:val="tx1"/>
            </w14:solidFill>
          </w14:textFill>
        </w:rPr>
        <w:t>》，</w:t>
      </w:r>
      <w:r>
        <w:rPr>
          <w:rFonts w:ascii="仿宋" w:hAnsi="仿宋" w:eastAsia="仿宋"/>
          <w:color w:val="000000" w:themeColor="text1"/>
          <w:spacing w:val="-8"/>
          <w14:textFill>
            <w14:solidFill>
              <w14:schemeClr w14:val="tx1"/>
            </w14:solidFill>
          </w14:textFill>
        </w:rPr>
        <w:t>对</w:t>
      </w:r>
      <w:r>
        <w:rPr>
          <w:rFonts w:ascii="仿宋" w:hAnsi="仿宋" w:eastAsia="仿宋"/>
          <w:color w:val="000000" w:themeColor="text1"/>
          <w:spacing w:val="-12"/>
          <w14:textFill>
            <w14:solidFill>
              <w14:schemeClr w14:val="tx1"/>
            </w14:solidFill>
          </w14:textFill>
        </w:rPr>
        <w:t>班</w:t>
      </w:r>
      <w:r>
        <w:rPr>
          <w:rFonts w:ascii="仿宋" w:hAnsi="仿宋" w:eastAsia="仿宋"/>
          <w:color w:val="000000" w:themeColor="text1"/>
          <w:spacing w:val="-8"/>
          <w14:textFill>
            <w14:solidFill>
              <w14:schemeClr w14:val="tx1"/>
            </w14:solidFill>
          </w14:textFill>
        </w:rPr>
        <w:t>内同学参评学年</w:t>
      </w:r>
      <w:r>
        <w:rPr>
          <w:rFonts w:hint="eastAsia" w:ascii="仿宋" w:hAnsi="仿宋" w:eastAsia="仿宋"/>
          <w:color w:val="000000" w:themeColor="text1"/>
          <w:spacing w:val="-8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8"/>
          <w14:textFill>
            <w14:solidFill>
              <w14:schemeClr w14:val="tx1"/>
            </w14:solidFill>
          </w14:textFill>
        </w:rPr>
        <w:t>情况进行初步审核，并在班内公示不少于</w:t>
      </w:r>
      <w:r>
        <w:rPr>
          <w:rFonts w:hint="eastAsia" w:ascii="仿宋" w:hAnsi="仿宋" w:eastAsia="仿宋"/>
          <w:color w:val="000000" w:themeColor="text1"/>
          <w:spacing w:val="-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pacing w:val="-8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ascii="仿宋" w:hAnsi="仿宋" w:eastAsia="仿宋"/>
          <w:color w:val="000000" w:themeColor="text1"/>
          <w:spacing w:val="-2"/>
          <w14:textFill>
            <w14:solidFill>
              <w14:schemeClr w14:val="tx1"/>
            </w14:solidFill>
          </w14:textFill>
        </w:rPr>
        <w:t>个工作日；</w:t>
      </w:r>
    </w:p>
    <w:p w14:paraId="5300D358">
      <w:pPr>
        <w:pStyle w:val="5"/>
        <w:spacing w:line="360" w:lineRule="auto"/>
        <w:ind w:left="0" w:firstLine="552" w:firstLineChars="200"/>
        <w:jc w:val="both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7"/>
          <w14:textFill>
            <w14:solidFill>
              <w14:schemeClr w14:val="tx1"/>
            </w14:solidFill>
          </w14:textFill>
        </w:rPr>
        <w:t>（四）</w:t>
      </w:r>
      <w:r>
        <w:rPr>
          <w:rFonts w:ascii="仿宋" w:hAnsi="仿宋" w:eastAsia="仿宋"/>
          <w:color w:val="000000" w:themeColor="text1"/>
          <w:spacing w:val="-15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pacing w:val="-7"/>
          <w14:textFill>
            <w14:solidFill>
              <w14:schemeClr w14:val="tx1"/>
            </w14:solidFill>
          </w14:textFill>
        </w:rPr>
        <w:t>年级测评审议</w:t>
      </w:r>
      <w:r>
        <w:rPr>
          <w:rFonts w:ascii="仿宋" w:hAnsi="仿宋" w:eastAsia="仿宋"/>
          <w:color w:val="000000" w:themeColor="text1"/>
          <w:spacing w:val="-7"/>
          <w14:textFill>
            <w14:solidFill>
              <w14:schemeClr w14:val="tx1"/>
            </w14:solidFill>
          </w14:textFill>
        </w:rPr>
        <w:t>：根据每名同学的日常表现和相关证明，</w:t>
      </w:r>
      <w:r>
        <w:rPr>
          <w:rFonts w:ascii="仿宋" w:hAnsi="仿宋" w:eastAsia="仿宋"/>
          <w:color w:val="000000" w:themeColor="text1"/>
          <w:spacing w:val="-12"/>
          <w14:textFill>
            <w14:solidFill>
              <w14:schemeClr w14:val="tx1"/>
            </w14:solidFill>
          </w14:textFill>
        </w:rPr>
        <w:t>根据附件</w:t>
      </w:r>
      <w:r>
        <w:rPr>
          <w:rFonts w:ascii="仿宋" w:hAnsi="仿宋" w:eastAsia="仿宋"/>
          <w:color w:val="000000" w:themeColor="text1"/>
          <w:spacing w:val="-81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spacing w:val="-12"/>
          <w14:textFill>
            <w14:solidFill>
              <w14:schemeClr w14:val="tx1"/>
            </w14:solidFill>
          </w14:textFill>
        </w:rPr>
        <w:t>《管理</w:t>
      </w:r>
      <w:r>
        <w:rPr>
          <w:rFonts w:ascii="仿宋" w:hAnsi="仿宋" w:eastAsia="仿宋"/>
          <w:color w:val="000000" w:themeColor="text1"/>
          <w:spacing w:val="-27"/>
          <w14:textFill>
            <w14:solidFill>
              <w14:schemeClr w14:val="tx1"/>
            </w14:solidFill>
          </w14:textFill>
        </w:rPr>
        <w:t>学院学生</w:t>
      </w:r>
      <w:r>
        <w:rPr>
          <w:rFonts w:hint="eastAsia" w:ascii="仿宋" w:hAnsi="仿宋" w:eastAsia="仿宋"/>
          <w:color w:val="000000" w:themeColor="text1"/>
          <w:spacing w:val="-27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27"/>
          <w14:textFill>
            <w14:solidFill>
              <w14:schemeClr w14:val="tx1"/>
            </w14:solidFill>
          </w14:textFill>
        </w:rPr>
        <w:t>加分标准》，各班</w:t>
      </w:r>
      <w:r>
        <w:rPr>
          <w:rFonts w:ascii="仿宋" w:hAnsi="仿宋" w:eastAsia="仿宋"/>
          <w:color w:val="000000" w:themeColor="text1"/>
          <w:spacing w:val="-12"/>
          <w14:textFill>
            <w14:solidFill>
              <w14:schemeClr w14:val="tx1"/>
            </w14:solidFill>
          </w14:textFill>
        </w:rPr>
        <w:t>级交换审议加分</w:t>
      </w:r>
      <w:r>
        <w:rPr>
          <w:rFonts w:ascii="仿宋" w:hAnsi="仿宋" w:eastAsia="仿宋"/>
          <w:color w:val="000000" w:themeColor="text1"/>
          <w:spacing w:val="-2"/>
          <w14:textFill>
            <w14:solidFill>
              <w14:schemeClr w14:val="tx1"/>
            </w14:solidFill>
          </w14:textFill>
        </w:rPr>
        <w:t>及证明材料，保证公平公正；</w:t>
      </w:r>
    </w:p>
    <w:p w14:paraId="61B8C017">
      <w:pPr>
        <w:pStyle w:val="5"/>
        <w:spacing w:line="360" w:lineRule="auto"/>
        <w:ind w:left="0" w:firstLine="552" w:firstLineChars="200"/>
        <w:jc w:val="both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7"/>
          <w14:textFill>
            <w14:solidFill>
              <w14:schemeClr w14:val="tx1"/>
            </w14:solidFill>
          </w14:textFill>
        </w:rPr>
        <w:t>（五）</w:t>
      </w:r>
      <w:r>
        <w:rPr>
          <w:rFonts w:ascii="仿宋" w:hAnsi="仿宋" w:eastAsia="仿宋"/>
          <w:color w:val="000000" w:themeColor="text1"/>
          <w:spacing w:val="-15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pacing w:val="-7"/>
          <w14:textFill>
            <w14:solidFill>
              <w14:schemeClr w14:val="tx1"/>
            </w14:solidFill>
          </w14:textFill>
        </w:rPr>
        <w:t>年级内部公示</w:t>
      </w:r>
      <w:r>
        <w:rPr>
          <w:rFonts w:ascii="仿宋" w:hAnsi="仿宋" w:eastAsia="仿宋"/>
          <w:color w:val="000000" w:themeColor="text1"/>
          <w:spacing w:val="-7"/>
          <w14:textFill>
            <w14:solidFill>
              <w14:schemeClr w14:val="tx1"/>
            </w14:solidFill>
          </w14:textFill>
        </w:rPr>
        <w:t>：各年级在年级内部公示</w:t>
      </w:r>
      <w:r>
        <w:rPr>
          <w:rFonts w:hint="eastAsia" w:ascii="仿宋" w:hAnsi="仿宋" w:eastAsia="仿宋"/>
          <w:color w:val="000000" w:themeColor="text1"/>
          <w:spacing w:val="-7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7"/>
          <w14:textFill>
            <w14:solidFill>
              <w14:schemeClr w14:val="tx1"/>
            </w14:solidFill>
          </w14:textFill>
        </w:rPr>
        <w:t>加分结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果，公示时间不</w:t>
      </w:r>
      <w:r>
        <w:rPr>
          <w:rFonts w:ascii="仿宋" w:hAnsi="仿宋" w:eastAsia="仿宋"/>
          <w:color w:val="000000" w:themeColor="text1"/>
          <w:spacing w:val="-14"/>
          <w14:textFill>
            <w14:solidFill>
              <w14:schemeClr w14:val="tx1"/>
            </w14:solidFill>
          </w14:textFill>
        </w:rPr>
        <w:t>少于</w:t>
      </w:r>
      <w:r>
        <w:rPr>
          <w:rFonts w:hint="eastAsia" w:ascii="仿宋" w:hAnsi="仿宋" w:eastAsia="仿宋"/>
          <w:color w:val="000000" w:themeColor="text1"/>
          <w:spacing w:val="-1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ascii="仿宋" w:hAnsi="仿宋" w:eastAsia="仿宋"/>
          <w:color w:val="000000" w:themeColor="text1"/>
          <w:spacing w:val="-8"/>
          <w14:textFill>
            <w14:solidFill>
              <w14:schemeClr w14:val="tx1"/>
            </w14:solidFill>
          </w14:textFill>
        </w:rPr>
        <w:t>个工作日；</w:t>
      </w:r>
    </w:p>
    <w:p w14:paraId="07AE2C7E">
      <w:pPr>
        <w:pStyle w:val="5"/>
        <w:spacing w:line="360" w:lineRule="auto"/>
        <w:ind w:left="0" w:firstLine="552" w:firstLineChars="200"/>
        <w:jc w:val="both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7"/>
          <w14:textFill>
            <w14:solidFill>
              <w14:schemeClr w14:val="tx1"/>
            </w14:solidFill>
          </w14:textFill>
        </w:rPr>
        <w:t>（六）</w:t>
      </w:r>
      <w:r>
        <w:rPr>
          <w:rFonts w:ascii="仿宋" w:hAnsi="仿宋" w:eastAsia="仿宋"/>
          <w:color w:val="000000" w:themeColor="text1"/>
          <w:spacing w:val="-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pacing w:val="-7"/>
          <w14:textFill>
            <w14:solidFill>
              <w14:schemeClr w14:val="tx1"/>
            </w14:solidFill>
          </w14:textFill>
        </w:rPr>
        <w:t>学院公示</w:t>
      </w:r>
      <w:r>
        <w:rPr>
          <w:rFonts w:ascii="仿宋" w:hAnsi="仿宋" w:eastAsia="仿宋"/>
          <w:color w:val="000000" w:themeColor="text1"/>
          <w:spacing w:val="-7"/>
          <w14:textFill>
            <w14:solidFill>
              <w14:schemeClr w14:val="tx1"/>
            </w14:solidFill>
          </w14:textFill>
        </w:rPr>
        <w:t>：学工办公示</w:t>
      </w:r>
      <w:r>
        <w:rPr>
          <w:rFonts w:hint="eastAsia" w:ascii="仿宋" w:hAnsi="仿宋" w:eastAsia="仿宋"/>
          <w:color w:val="000000" w:themeColor="text1"/>
          <w:spacing w:val="-7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7"/>
          <w14:textFill>
            <w14:solidFill>
              <w14:schemeClr w14:val="tx1"/>
            </w14:solidFill>
          </w14:textFill>
        </w:rPr>
        <w:t>加分结果，公示时间不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少于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ascii="仿宋" w:hAnsi="仿宋" w:eastAsia="仿宋"/>
          <w:color w:val="000000" w:themeColor="text1"/>
          <w:spacing w:val="-20"/>
          <w14:textFill>
            <w14:solidFill>
              <w14:schemeClr w14:val="tx1"/>
            </w14:solidFill>
          </w14:textFill>
        </w:rPr>
        <w:t>个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工作日；</w:t>
      </w:r>
    </w:p>
    <w:p w14:paraId="3FED9419">
      <w:pPr>
        <w:pStyle w:val="5"/>
        <w:spacing w:line="360" w:lineRule="auto"/>
        <w:ind w:left="0" w:firstLine="548" w:firstLineChars="200"/>
        <w:jc w:val="both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8"/>
          <w14:textFill>
            <w14:solidFill>
              <w14:schemeClr w14:val="tx1"/>
            </w14:solidFill>
          </w14:textFill>
        </w:rPr>
        <w:t xml:space="preserve">（七） </w:t>
      </w:r>
      <w:r>
        <w:rPr>
          <w:rFonts w:hint="eastAsia" w:ascii="仿宋" w:hAnsi="仿宋" w:eastAsia="仿宋"/>
          <w:b/>
          <w:color w:val="000000" w:themeColor="text1"/>
          <w:spacing w:val="-8"/>
          <w14:textFill>
            <w14:solidFill>
              <w14:schemeClr w14:val="tx1"/>
            </w14:solidFill>
          </w14:textFill>
        </w:rPr>
        <w:t>复议处理</w:t>
      </w:r>
      <w:r>
        <w:rPr>
          <w:rFonts w:ascii="仿宋" w:hAnsi="仿宋" w:eastAsia="仿宋"/>
          <w:color w:val="000000" w:themeColor="text1"/>
          <w:spacing w:val="-8"/>
          <w14:textFill>
            <w14:solidFill>
              <w14:schemeClr w14:val="tx1"/>
            </w14:solidFill>
          </w14:textFill>
        </w:rPr>
        <w:t>：班级公示期间，由班级综测小组负责收集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和回复异议或问题</w:t>
      </w:r>
      <w:r>
        <w:rPr>
          <w:rFonts w:ascii="仿宋" w:hAnsi="仿宋" w:eastAsia="仿宋"/>
          <w:color w:val="000000" w:themeColor="text1"/>
          <w:spacing w:val="-21"/>
          <w14:textFill>
            <w14:solidFill>
              <w14:schemeClr w14:val="tx1"/>
            </w14:solidFill>
          </w14:textFill>
        </w:rPr>
        <w:t>，不能确定的上报年级</w:t>
      </w:r>
      <w:r>
        <w:rPr>
          <w:rFonts w:hint="eastAsia" w:ascii="仿宋" w:hAnsi="仿宋" w:eastAsia="仿宋"/>
          <w:color w:val="000000" w:themeColor="text1"/>
          <w:spacing w:val="-21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21"/>
          <w14:textFill>
            <w14:solidFill>
              <w14:schemeClr w14:val="tx1"/>
            </w14:solidFill>
          </w14:textFill>
        </w:rPr>
        <w:t>工作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小组组长即年级</w:t>
      </w:r>
      <w:r>
        <w:rPr>
          <w:rFonts w:ascii="仿宋" w:hAnsi="仿宋" w:eastAsia="仿宋"/>
          <w:color w:val="000000" w:themeColor="text1"/>
          <w:spacing w:val="-14"/>
          <w14:textFill>
            <w14:solidFill>
              <w14:schemeClr w14:val="tx1"/>
            </w14:solidFill>
          </w14:textFill>
        </w:rPr>
        <w:t>辅导员；年级内部公示期间，由年级</w:t>
      </w:r>
      <w:r>
        <w:rPr>
          <w:rFonts w:hint="eastAsia" w:ascii="仿宋" w:hAnsi="仿宋" w:eastAsia="仿宋"/>
          <w:color w:val="000000" w:themeColor="text1"/>
          <w:spacing w:val="-14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14"/>
          <w14:textFill>
            <w14:solidFill>
              <w14:schemeClr w14:val="tx1"/>
            </w14:solidFill>
          </w14:textFill>
        </w:rPr>
        <w:t>工作小组组长负责收集和回复异议或问题，不能确定的上报学工办，学工办集体研讨后，仍</w:t>
      </w:r>
      <w:r>
        <w:rPr>
          <w:rFonts w:ascii="仿宋" w:hAnsi="仿宋" w:eastAsia="仿宋"/>
          <w:color w:val="000000" w:themeColor="text1"/>
          <w:spacing w:val="-4"/>
          <w14:textFill>
            <w14:solidFill>
              <w14:schemeClr w14:val="tx1"/>
            </w14:solidFill>
          </w14:textFill>
        </w:rPr>
        <w:t>然不能确定的异议或问题上报学院本科生资助评审工作小组审议决</w:t>
      </w:r>
      <w:r>
        <w:rPr>
          <w:rFonts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定；</w:t>
      </w:r>
    </w:p>
    <w:p w14:paraId="18575103">
      <w:pPr>
        <w:pStyle w:val="5"/>
        <w:spacing w:line="360" w:lineRule="auto"/>
        <w:ind w:left="0" w:firstLine="556" w:firstLineChars="200"/>
        <w:jc w:val="both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（八）</w:t>
      </w:r>
      <w:r>
        <w:rPr>
          <w:rFonts w:ascii="仿宋" w:hAnsi="仿宋" w:eastAsia="仿宋"/>
          <w:color w:val="000000" w:themeColor="text1"/>
          <w:spacing w:val="-27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pacing w:val="-6"/>
          <w14:textFill>
            <w14:solidFill>
              <w14:schemeClr w14:val="tx1"/>
            </w14:solidFill>
          </w14:textFill>
        </w:rPr>
        <w:t>学院公布</w:t>
      </w:r>
      <w:r>
        <w:rPr>
          <w:rFonts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：学工办公布</w:t>
      </w:r>
      <w:r>
        <w:rPr>
          <w:rFonts w:hint="eastAsia"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加分结果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。</w:t>
      </w:r>
    </w:p>
    <w:p w14:paraId="68CB8FF8">
      <w:pPr>
        <w:pStyle w:val="5"/>
        <w:spacing w:line="360" w:lineRule="auto"/>
        <w:ind w:left="0" w:firstLine="566" w:firstLineChars="200"/>
        <w:jc w:val="both"/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4"/>
          <w14:textFill>
            <w14:solidFill>
              <w14:schemeClr w14:val="tx1"/>
            </w14:solidFill>
          </w14:textFill>
        </w:rPr>
        <w:t>第八</w:t>
      </w:r>
      <w:r>
        <w:rPr>
          <w:rFonts w:hint="eastAsia" w:ascii="仿宋" w:hAnsi="仿宋" w:eastAsia="仿宋"/>
          <w:b/>
          <w:color w:val="000000" w:themeColor="text1"/>
          <w:spacing w:val="-10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" w:hAnsi="仿宋" w:eastAsia="仿宋"/>
          <w:color w:val="000000" w:themeColor="text1"/>
          <w:spacing w:val="-4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4"/>
          <w14:textFill>
            <w14:solidFill>
              <w14:schemeClr w14:val="tx1"/>
            </w14:solidFill>
          </w14:textFill>
        </w:rPr>
        <w:t>工作复议制度如下，学生不认可</w:t>
      </w:r>
      <w:r>
        <w:rPr>
          <w:rFonts w:hint="eastAsia" w:ascii="仿宋" w:hAnsi="仿宋" w:eastAsia="仿宋"/>
          <w:color w:val="000000" w:themeColor="text1"/>
          <w:spacing w:val="-4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4"/>
          <w14:textFill>
            <w14:solidFill>
              <w14:schemeClr w14:val="tx1"/>
            </w14:solidFill>
          </w14:textFill>
        </w:rPr>
        <w:t>加分</w:t>
      </w:r>
      <w:r>
        <w:rPr>
          <w:rFonts w:ascii="仿宋" w:hAnsi="仿宋" w:eastAsia="仿宋"/>
          <w:color w:val="000000" w:themeColor="text1"/>
          <w:spacing w:val="-14"/>
          <w14:textFill>
            <w14:solidFill>
              <w14:schemeClr w14:val="tx1"/>
            </w14:solidFill>
          </w14:textFill>
        </w:rPr>
        <w:t>结果的，可在复议申请期限内逐级向年级</w:t>
      </w:r>
      <w:r>
        <w:rPr>
          <w:rFonts w:hint="eastAsia" w:ascii="仿宋" w:hAnsi="仿宋" w:eastAsia="仿宋"/>
          <w:color w:val="000000" w:themeColor="text1"/>
          <w:spacing w:val="-14"/>
          <w14:textFill>
            <w14:solidFill>
              <w14:schemeClr w14:val="tx1"/>
            </w14:solidFill>
          </w14:textFill>
        </w:rPr>
        <w:t>综测</w:t>
      </w:r>
      <w:r>
        <w:rPr>
          <w:rFonts w:ascii="仿宋" w:hAnsi="仿宋" w:eastAsia="仿宋"/>
          <w:color w:val="000000" w:themeColor="text1"/>
          <w:spacing w:val="-14"/>
          <w14:textFill>
            <w14:solidFill>
              <w14:schemeClr w14:val="tx1"/>
            </w14:solidFill>
          </w14:textFill>
        </w:rPr>
        <w:t>工作小组</w:t>
      </w:r>
      <w:r>
        <w:rPr>
          <w:rFonts w:ascii="仿宋" w:hAnsi="仿宋" w:eastAsia="仿宋"/>
          <w:color w:val="000000" w:themeColor="text1"/>
          <w:spacing w:val="-65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color w:val="000000" w:themeColor="text1"/>
          <w:spacing w:val="-14"/>
          <w14:textFill>
            <w14:solidFill>
              <w14:schemeClr w14:val="tx1"/>
            </w14:solidFill>
          </w14:textFill>
        </w:rPr>
        <w:t>学工办</w:t>
      </w:r>
      <w:r>
        <w:rPr>
          <w:rFonts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提出复议。复议程序如下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：</w:t>
      </w:r>
    </w:p>
    <w:p w14:paraId="5D47F741">
      <w:pPr>
        <w:pStyle w:val="5"/>
        <w:spacing w:line="360" w:lineRule="auto"/>
        <w:ind w:left="0" w:firstLine="580" w:firstLineChars="200"/>
        <w:jc w:val="both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645EF98E">
      <w:pPr>
        <w:pStyle w:val="5"/>
        <w:spacing w:line="360" w:lineRule="auto"/>
        <w:ind w:left="0"/>
        <w:rPr>
          <w:rFonts w:ascii="仿宋" w:hAnsi="仿宋" w:eastAsia="仿宋"/>
          <w:color w:val="000000" w:themeColor="text1"/>
          <w:sz w:val="15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14:ligatures w14:val="standardContextual"/>
        </w:rPr>
        <mc:AlternateContent>
          <mc:Choice Requires="wpg">
            <w:drawing>
              <wp:inline distT="0" distB="0" distL="0" distR="0">
                <wp:extent cx="4451350" cy="4298950"/>
                <wp:effectExtent l="0" t="0" r="25400" b="25400"/>
                <wp:docPr id="314690174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1350" cy="4298950"/>
                          <a:chOff x="0" y="0"/>
                          <a:chExt cx="4451350" cy="4298950"/>
                        </a:xfrm>
                      </wpg:grpSpPr>
                      <wps:wsp>
                        <wps:cNvPr id="92296389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3150" y="2324100"/>
                            <a:ext cx="1212850" cy="33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7AFBF14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4"/>
                                </w:rPr>
                                <w:t>存在差错或争议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18770059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1250" y="1111250"/>
                            <a:ext cx="1212850" cy="33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028036B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4"/>
                                </w:rPr>
                                <w:t>存在差错或争议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888178702" name="矩形 2"/>
                        <wps:cNvSpPr/>
                        <wps:spPr>
                          <a:xfrm>
                            <a:off x="0" y="0"/>
                            <a:ext cx="2222500" cy="469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6F6114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4"/>
                                </w:rPr>
                                <w:t>个人书写复议申请，</w:t>
                              </w:r>
                            </w:p>
                            <w:p w14:paraId="4F1B9C14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4"/>
                                </w:rPr>
                                <w:t>向年级提出异议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1905839439" name="矩形 2"/>
                        <wps:cNvSpPr/>
                        <wps:spPr>
                          <a:xfrm>
                            <a:off x="0" y="812800"/>
                            <a:ext cx="222250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32A40E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4"/>
                                </w:rPr>
                                <w:t>年级综合评价工作小组复核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1245783692" name="矩形 2"/>
                        <wps:cNvSpPr/>
                        <wps:spPr>
                          <a:xfrm>
                            <a:off x="0" y="1441450"/>
                            <a:ext cx="222250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4330C7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4"/>
                                </w:rPr>
                                <w:t>向学工办提交审核意见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1219702648" name="矩形 2"/>
                        <wps:cNvSpPr/>
                        <wps:spPr>
                          <a:xfrm>
                            <a:off x="0" y="2032000"/>
                            <a:ext cx="222250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D4CE1D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4"/>
                                </w:rPr>
                                <w:t>学工办集体研讨复核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1925903840" name="矩形 2"/>
                        <wps:cNvSpPr/>
                        <wps:spPr>
                          <a:xfrm>
                            <a:off x="0" y="2635250"/>
                            <a:ext cx="2222500" cy="488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4078D9D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4"/>
                                </w:rPr>
                                <w:t>上报学院本科生资助</w:t>
                              </w:r>
                            </w:p>
                            <w:p w14:paraId="793EA59C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4"/>
                                </w:rPr>
                                <w:t>评审工作小组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1860966771" name="矩形 2"/>
                        <wps:cNvSpPr/>
                        <wps:spPr>
                          <a:xfrm>
                            <a:off x="0" y="3416300"/>
                            <a:ext cx="222250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B38884F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4"/>
                                </w:rPr>
                                <w:t>本科生资助评审工作小组审议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1197131457" name="矩形 2"/>
                        <wps:cNvSpPr/>
                        <wps:spPr>
                          <a:xfrm>
                            <a:off x="0" y="4006850"/>
                            <a:ext cx="222250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4293AD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4"/>
                                </w:rPr>
                                <w:t>确认审核结果，通知复议申请人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669706058" name="矩形 2"/>
                        <wps:cNvSpPr/>
                        <wps:spPr>
                          <a:xfrm>
                            <a:off x="2565400" y="806450"/>
                            <a:ext cx="186055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BF7649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4"/>
                                </w:rPr>
                                <w:t>维持原审核结果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1173843788" name="矩形 2"/>
                        <wps:cNvSpPr/>
                        <wps:spPr>
                          <a:xfrm>
                            <a:off x="2565400" y="2019300"/>
                            <a:ext cx="188595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91B4CF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4"/>
                                </w:rPr>
                                <w:t>维持、撤销或变更审核结果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191727203" name="直接箭头连接符 3"/>
                        <wps:cNvCnPr/>
                        <wps:spPr>
                          <a:xfrm>
                            <a:off x="1073150" y="514350"/>
                            <a:ext cx="0" cy="2413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9169852" name="直接箭头连接符 3"/>
                        <wps:cNvCnPr/>
                        <wps:spPr>
                          <a:xfrm>
                            <a:off x="1073150" y="1130300"/>
                            <a:ext cx="0" cy="2413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44457068" name="直接箭头连接符 3"/>
                        <wps:cNvCnPr/>
                        <wps:spPr>
                          <a:xfrm>
                            <a:off x="1073150" y="1733550"/>
                            <a:ext cx="0" cy="2413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38279319" name="直接箭头连接符 3"/>
                        <wps:cNvCnPr/>
                        <wps:spPr>
                          <a:xfrm>
                            <a:off x="1073150" y="2324100"/>
                            <a:ext cx="0" cy="2413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87109972" name="直接箭头连接符 3"/>
                        <wps:cNvCnPr/>
                        <wps:spPr>
                          <a:xfrm>
                            <a:off x="1073150" y="3124200"/>
                            <a:ext cx="0" cy="2413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5249529" name="直接箭头连接符 3"/>
                        <wps:cNvCnPr/>
                        <wps:spPr>
                          <a:xfrm>
                            <a:off x="1073150" y="3708400"/>
                            <a:ext cx="0" cy="2413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76951859" name="直接箭头连接符 4"/>
                        <wps:cNvCnPr/>
                        <wps:spPr>
                          <a:xfrm>
                            <a:off x="2235200" y="952500"/>
                            <a:ext cx="31115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90224338" name="直接箭头连接符 4"/>
                        <wps:cNvCnPr/>
                        <wps:spPr>
                          <a:xfrm>
                            <a:off x="2235200" y="2178050"/>
                            <a:ext cx="31115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26" o:spt="203" style="height:338.5pt;width:350.5pt;" coordsize="4451350,4298950" o:gfxdata="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">
                <o:lock v:ext="edit" aspectratio="f"/>
                <v:shape id="文本框 2" o:spid="_x0000_s1026" o:spt="202" type="#_x0000_t202" style="position:absolute;left:1073150;top:2324100;height:330200;width:1212850;" fillcolor="#FFFFFF" filled="t" stroked="f" coordsize="21600,21600" o:gfxdata="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oBu&#10;d8EAAADiAAAADwAAAAAAAAABACAAAAAiAAAAZHJzL2Rvd25yZXYueG1sUEsBAhQAFAAAAAgAh07i&#10;QDMvBZ47AAAAOQAAABAAAAAAAAAAAQAgAAAAEAEAAGRycy9zaGFwZXhtbC54bWxQSwUGAAAAAAYA&#10;BgBbAQAAugMAAAAA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7AFBF14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存在差错或争议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111250;top:1111250;height:330200;width:1212850;" fillcolor="#FFFFFF" filled="t" stroked="f" coordsize="21600,21600" o:gfxdata="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4EIk&#10;wAAAAOMAAAAPAAAAAAAAAAEAIAAAACIAAABkcnMvZG93bnJldi54bWxQSwECFAAUAAAACACHTuJA&#10;My8FnjsAAAA5AAAAEAAAAAAAAAABACAAAAAPAQAAZHJzL3NoYXBleG1sLnhtbFBLBQYAAAAABgAG&#10;AFsBAAC5AwAAAAA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028036B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存在差错或争议</w:t>
                        </w:r>
                      </w:p>
                    </w:txbxContent>
                  </v:textbox>
                </v:shape>
                <v:rect id="矩形 2" o:spid="_x0000_s1026" o:spt="1" style="position:absolute;left:0;top:0;height:469900;width:2222500;v-text-anchor:middle;" fillcolor="#FFFFFF" filled="t" stroked="t" coordsize="21600,21600" o:gfxdata="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ck&#10;QXbCAAAA4gAAAA8AAAAAAAAAAQAgAAAAIgAAAGRycy9kb3ducmV2LnhtbFBLAQIUABQAAAAIAIdO&#10;4kAzLwWeOwAAADkAAAAQAAAAAAAAAAEAIAAAABEBAABkcnMvc2hhcGV4bWwueG1sUEsFBgAAAAAG&#10;AAYAWwEAALsDAAAAAA=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46F6114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个人书写复议申请，</w:t>
                        </w:r>
                      </w:p>
                      <w:p w14:paraId="4F1B9C14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向年级提出异议</w:t>
                        </w:r>
                      </w:p>
                    </w:txbxContent>
                  </v:textbox>
                </v:rect>
                <v:rect id="矩形 2" o:spid="_x0000_s1026" o:spt="1" style="position:absolute;left:0;top:812800;height:292100;width:2222500;v-text-anchor:middle;" fillcolor="#FFFFFF" filled="t" stroked="t" coordsize="21600,21600" o:gfxdata="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8jZ&#10;GcEAAADjAAAADwAAAAAAAAABACAAAAAiAAAAZHJzL2Rvd25yZXYueG1sUEsBAhQAFAAAAAgAh07i&#10;QDMvBZ47AAAAOQAAABAAAAAAAAAAAQAgAAAAEAEAAGRycy9zaGFwZXhtbC54bWxQSwUGAAAAAAYA&#10;BgBbAQAAugMAAAAA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D32A40E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年级综合评价工作小组复核</w:t>
                        </w:r>
                      </w:p>
                    </w:txbxContent>
                  </v:textbox>
                </v:rect>
                <v:rect id="矩形 2" o:spid="_x0000_s1026" o:spt="1" style="position:absolute;left:0;top:1441450;height:292100;width:2222500;v-text-anchor:middle;" fillcolor="#FFFFFF" filled="t" stroked="t" coordsize="21600,21600" o:gfxdata="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j02&#10;k8EAAADjAAAADwAAAAAAAAABACAAAAAiAAAAZHJzL2Rvd25yZXYueG1sUEsBAhQAFAAAAAgAh07i&#10;QDMvBZ47AAAAOQAAABAAAAAAAAAAAQAgAAAAEAEAAGRycy9zaGFwZXhtbC54bWxQSwUGAAAAAAYA&#10;BgBbAQAAugMAAAAA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64330C7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向学工办提交审核意见</w:t>
                        </w:r>
                      </w:p>
                    </w:txbxContent>
                  </v:textbox>
                </v:rect>
                <v:rect id="矩形 2" o:spid="_x0000_s1026" o:spt="1" style="position:absolute;left:0;top:2032000;height:292100;width:2222500;v-text-anchor:middle;" fillcolor="#FFFFFF" filled="t" stroked="t" coordsize="21600,21600" o:gfxdata="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gW21sQAAADjAAAADwAAAAAAAAABACAAAAAiAAAAZHJzL2Rvd25yZXYueG1sUEsBAhQAFAAAAAgA&#10;h07iQDMvBZ47AAAAOQAAABAAAAAAAAAAAQAgAAAAEwEAAGRycy9zaGFwZXhtbC54bWxQSwUGAAAA&#10;AAYABgBbAQAAvQMAAAAA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9D4CE1D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学工办集体研讨复核</w:t>
                        </w:r>
                      </w:p>
                    </w:txbxContent>
                  </v:textbox>
                </v:rect>
                <v:rect id="矩形 2" o:spid="_x0000_s1026" o:spt="1" style="position:absolute;left:0;top:2635250;height:488950;width:2222500;v-text-anchor:middle;" fillcolor="#FFFFFF" filled="t" stroked="t" coordsize="21600,21600" o:gfxdata="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/WEjbsQAAADjAAAADwAAAAAAAAABACAAAAAiAAAAZHJzL2Rvd25yZXYueG1sUEsBAhQAFAAAAAgA&#10;h07iQDMvBZ47AAAAOQAAABAAAAAAAAAAAQAgAAAAEwEAAGRycy9zaGFwZXhtbC54bWxQSwUGAAAA&#10;AAYABgBbAQAAvQMAAAAA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4078D9D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上报学院本科生资助</w:t>
                        </w:r>
                      </w:p>
                      <w:p w14:paraId="793EA59C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评审工作小组</w:t>
                        </w:r>
                      </w:p>
                    </w:txbxContent>
                  </v:textbox>
                </v:rect>
                <v:rect id="矩形 2" o:spid="_x0000_s1026" o:spt="1" style="position:absolute;left:0;top:3416300;height:292100;width:2222500;v-text-anchor:middle;" fillcolor="#FFFFFF" filled="t" stroked="t" coordsize="21600,21600" o:gfxdata="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dTsW&#10;wAAAAOMAAAAPAAAAAAAAAAEAIAAAACIAAABkcnMvZG93bnJldi54bWxQSwECFAAUAAAACACHTuJA&#10;My8FnjsAAAA5AAAAEAAAAAAAAAABACAAAAAPAQAAZHJzL3NoYXBleG1sLnhtbFBLBQYAAAAABgAG&#10;AFsBAAC5AwAAAAA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B38884F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本科生资助评审工作小组审议</w:t>
                        </w:r>
                      </w:p>
                    </w:txbxContent>
                  </v:textbox>
                </v:rect>
                <v:rect id="矩形 2" o:spid="_x0000_s1026" o:spt="1" style="position:absolute;left:0;top:4006850;height:292100;width:2222500;v-text-anchor:middle;" fillcolor="#FFFFFF" filled="t" stroked="t" coordsize="21600,21600" o:gfxdata="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qx+&#10;uMEAAADjAAAADwAAAAAAAAABACAAAAAiAAAAZHJzL2Rvd25yZXYueG1sUEsBAhQAFAAAAAgAh07i&#10;QDMvBZ47AAAAOQAAABAAAAAAAAAAAQAgAAAAEAEAAGRycy9zaGFwZXhtbC54bWxQSwUGAAAAAAYA&#10;BgBbAQAAugMAAAAA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14293AD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确认审核结果，通知复议申请人</w:t>
                        </w:r>
                      </w:p>
                    </w:txbxContent>
                  </v:textbox>
                </v:rect>
                <v:rect id="矩形 2" o:spid="_x0000_s1026" o:spt="1" style="position:absolute;left:2565400;top:806450;height:292100;width:1860550;v-text-anchor:middle;" fillcolor="#FFFFFF" filled="t" stroked="t" coordsize="21600,21600" o:gfxdata="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p/TG/&#10;AAAA4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4BF7649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维持原审核结果</w:t>
                        </w:r>
                      </w:p>
                    </w:txbxContent>
                  </v:textbox>
                </v:rect>
                <v:rect id="矩形 2" o:spid="_x0000_s1026" o:spt="1" style="position:absolute;left:2565400;top:2019300;height:292100;width:1885950;v-text-anchor:middle;" fillcolor="#FFFFFF" filled="t" stroked="t" coordsize="21600,21600" o:gfxdata="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3q7WsQAAADjAAAADwAAAAAAAAABACAAAAAiAAAAZHJzL2Rvd25yZXYueG1sUEsBAhQAFAAAAAgA&#10;h07iQDMvBZ47AAAAOQAAABAAAAAAAAAAAQAgAAAAEwEAAGRycy9zaGFwZXhtbC54bWxQSwUGAAAA&#10;AAYABgBbAQAAvQMAAAAA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B91B4CF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维持、撤销或变更审核结果</w:t>
                        </w:r>
                      </w:p>
                    </w:txbxContent>
                  </v:textbox>
                </v:rect>
                <v:shape id="直接箭头连接符 3" o:spid="_x0000_s1026" o:spt="32" type="#_x0000_t32" style="position:absolute;left:1073150;top:514350;height:241300;width:0;" filled="f" stroked="t" coordsize="21600,21600" o:gfxdata="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iW9g74A&#10;AADi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miterlimit="8" joinstyle="miter" endarrow="block"/>
                  <v:imagedata o:title=""/>
                  <o:lock v:ext="edit" aspectratio="f"/>
                </v:shape>
                <v:shape id="直接箭头连接符 3" o:spid="_x0000_s1026" o:spt="32" type="#_x0000_t32" style="position:absolute;left:1073150;top:1130300;height:241300;width:0;" filled="f" stroked="t" coordsize="21600,21600" o:gfxdata="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4Q&#10;RxHCAAAA4gAAAA8AAAAAAAAAAQAgAAAAIgAAAGRycy9kb3ducmV2LnhtbFBLAQIUABQAAAAIAIdO&#10;4kAzLwWeOwAAADkAAAAQAAAAAAAAAAEAIAAAABEBAABkcnMvc2hhcGV4bWwueG1sUEsFBgAAAAAG&#10;AAYAWwEAALsDAAAAAA==&#10;">
                  <v:fill on="f" focussize="0,0"/>
                  <v:stroke weight="0.5pt" color="#000000" miterlimit="8" joinstyle="miter" endarrow="block"/>
                  <v:imagedata o:title=""/>
                  <o:lock v:ext="edit" aspectratio="f"/>
                </v:shape>
                <v:shape id="直接箭头连接符 3" o:spid="_x0000_s1026" o:spt="32" type="#_x0000_t32" style="position:absolute;left:1073150;top:1733550;height:241300;width:0;" filled="f" stroked="t" coordsize="21600,21600" o:gfxdata="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VTVK&#10;wAAAAOI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miterlimit="8" joinstyle="miter" endarrow="block"/>
                  <v:imagedata o:title=""/>
                  <o:lock v:ext="edit" aspectratio="f"/>
                </v:shape>
                <v:shape id="直接箭头连接符 3" o:spid="_x0000_s1026" o:spt="32" type="#_x0000_t32" style="position:absolute;left:1073150;top:2324100;height:241300;width:0;" filled="f" stroked="t" coordsize="21600,21600" o:gfxdata="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t+Bz74A&#10;AADi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miterlimit="8" joinstyle="miter" endarrow="block"/>
                  <v:imagedata o:title=""/>
                  <o:lock v:ext="edit" aspectratio="f"/>
                </v:shape>
                <v:shape id="直接箭头连接符 3" o:spid="_x0000_s1026" o:spt="32" type="#_x0000_t32" style="position:absolute;left:1073150;top:3124200;height:241300;width:0;" filled="f" stroked="t" coordsize="21600,21600" o:gfxdata="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0&#10;MqAVwwAAAOIAAAAPAAAAAAAAAAEAIAAAACIAAABkcnMvZG93bnJldi54bWxQSwECFAAUAAAACACH&#10;TuJAMy8FnjsAAAA5AAAAEAAAAAAAAAABACAAAAASAQAAZHJzL3NoYXBleG1sLnhtbFBLBQYAAAAA&#10;BgAGAFsBAAC8AwAAAAA=&#10;">
                  <v:fill on="f" focussize="0,0"/>
                  <v:stroke weight="0.5pt" color="#000000" miterlimit="8" joinstyle="miter" endarrow="block"/>
                  <v:imagedata o:title=""/>
                  <o:lock v:ext="edit" aspectratio="f"/>
                </v:shape>
                <v:shape id="直接箭头连接符 3" o:spid="_x0000_s1026" o:spt="32" type="#_x0000_t32" style="position:absolute;left:1073150;top:3708400;height:241300;width:0;" filled="f" stroked="t" coordsize="21600,21600" o:gfxdata="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zI&#10;94vCAAAA4gAAAA8AAAAAAAAAAQAgAAAAIgAAAGRycy9kb3ducmV2LnhtbFBLAQIUABQAAAAIAIdO&#10;4kAzLwWeOwAAADkAAAAQAAAAAAAAAAEAIAAAABEBAABkcnMvc2hhcGV4bWwueG1sUEsFBgAAAAAG&#10;AAYAWwEAALsDAAAAAA==&#10;">
                  <v:fill on="f" focussize="0,0"/>
                  <v:stroke weight="0.5pt" color="#000000" miterlimit="8" joinstyle="miter" endarrow="block"/>
                  <v:imagedata o:title=""/>
                  <o:lock v:ext="edit" aspectratio="f"/>
                </v:shape>
                <v:shape id="直接箭头连接符 4" o:spid="_x0000_s1026" o:spt="32" type="#_x0000_t32" style="position:absolute;left:2235200;top:952500;height:0;width:311150;" filled="f" stroked="t" coordsize="21600,21600" o:gfxdata="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n&#10;vGxmwwAAAOIAAAAPAAAAAAAAAAEAIAAAACIAAABkcnMvZG93bnJldi54bWxQSwECFAAUAAAACACH&#10;TuJAMy8FnjsAAAA5AAAAEAAAAAAAAAABACAAAAASAQAAZHJzL3NoYXBleG1sLnhtbFBLBQYAAAAA&#10;BgAGAFsBAAC8AwAAAAA=&#10;">
                  <v:fill on="f" focussize="0,0"/>
                  <v:stroke weight="0.5pt" color="#000000" miterlimit="8" joinstyle="miter" endarrow="block"/>
                  <v:imagedata o:title=""/>
                  <o:lock v:ext="edit" aspectratio="f"/>
                </v:shape>
                <v:shape id="直接箭头连接符 4" o:spid="_x0000_s1026" o:spt="32" type="#_x0000_t32" style="position:absolute;left:2235200;top:2178050;height:0;width:311150;" filled="f" stroked="t" coordsize="21600,21600" o:gfxdata="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R&#10;ctaZwwAAAOMAAAAPAAAAAAAAAAEAIAAAACIAAABkcnMvZG93bnJldi54bWxQSwECFAAUAAAACACH&#10;TuJAMy8FnjsAAAA5AAAAEAAAAAAAAAABACAAAAASAQAAZHJzL3NoYXBleG1sLnhtbFBLBQYAAAAA&#10;BgAGAFsBAAC8AwAAAAA=&#10;">
                  <v:fill on="f" focussize="0,0"/>
                  <v:stroke weight="0.5pt" color="#000000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2A989BF9">
      <w:pPr>
        <w:pStyle w:val="5"/>
        <w:spacing w:line="360" w:lineRule="auto"/>
        <w:ind w:left="0" w:firstLine="558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6"/>
          <w14:textFill>
            <w14:solidFill>
              <w14:schemeClr w14:val="tx1"/>
            </w14:solidFill>
          </w14:textFill>
        </w:rPr>
        <w:t>第九</w:t>
      </w:r>
      <w:r>
        <w:rPr>
          <w:rFonts w:hint="eastAsia" w:ascii="仿宋" w:hAnsi="仿宋" w:eastAsia="仿宋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学工办根据学校的有关规定，在征询各方意见的基础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上可对本方案进行</w:t>
      </w:r>
      <w:r>
        <w:rPr>
          <w:rFonts w:ascii="仿宋" w:hAnsi="仿宋" w:eastAsia="仿宋"/>
          <w:color w:val="000000" w:themeColor="text1"/>
          <w:spacing w:val="-18"/>
          <w14:textFill>
            <w14:solidFill>
              <w14:schemeClr w14:val="tx1"/>
            </w14:solidFill>
          </w14:textFill>
        </w:rPr>
        <w:t>修订，修订后的方案在学院内部进行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公示</w:t>
      </w:r>
      <w:r>
        <w:rPr>
          <w:rFonts w:ascii="仿宋" w:hAnsi="仿宋" w:eastAsia="仿宋"/>
          <w:color w:val="000000" w:themeColor="text1"/>
          <w:spacing w:val="-65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公示时间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不少于3</w:t>
      </w:r>
      <w:r>
        <w:rPr>
          <w:rFonts w:ascii="仿宋" w:hAnsi="仿宋" w:eastAsia="仿宋"/>
          <w:color w:val="000000" w:themeColor="text1"/>
          <w:spacing w:val="-19"/>
          <w14:textFill>
            <w14:solidFill>
              <w14:schemeClr w14:val="tx1"/>
            </w14:solidFill>
          </w14:textFill>
        </w:rPr>
        <w:t>个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工作日。</w:t>
      </w:r>
    </w:p>
    <w:p w14:paraId="3BA45BB3">
      <w:pPr>
        <w:pStyle w:val="5"/>
        <w:spacing w:line="360" w:lineRule="auto"/>
        <w:ind w:left="0"/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2B5EBD5E">
      <w:pPr>
        <w:pStyle w:val="3"/>
        <w:spacing w:before="0" w:beforeLines="0" w:after="0" w:afterLine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第四章 附则</w:t>
      </w:r>
    </w:p>
    <w:p w14:paraId="6C9382BB">
      <w:pPr>
        <w:pStyle w:val="5"/>
        <w:spacing w:line="360" w:lineRule="auto"/>
        <w:ind w:left="0" w:firstLine="558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6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/>
          <w:b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细则</w:t>
      </w:r>
      <w:r>
        <w:rPr>
          <w:rFonts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最终解释由学院本科生资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助</w:t>
      </w:r>
      <w:r>
        <w:rPr>
          <w:rFonts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评审工作小组负</w:t>
      </w:r>
      <w:r>
        <w:rPr>
          <w:rFonts w:ascii="仿宋" w:hAnsi="仿宋" w:eastAsia="仿宋"/>
          <w:color w:val="000000" w:themeColor="text1"/>
          <w:spacing w:val="-8"/>
          <w14:textFill>
            <w14:solidFill>
              <w14:schemeClr w14:val="tx1"/>
            </w14:solidFill>
          </w14:textFill>
        </w:rPr>
        <w:t>责。</w:t>
      </w:r>
    </w:p>
    <w:p w14:paraId="720B39FD">
      <w:pPr>
        <w:pStyle w:val="5"/>
        <w:spacing w:line="360" w:lineRule="auto"/>
        <w:ind w:left="0" w:firstLine="558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6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仿宋" w:hAnsi="仿宋" w:eastAsia="仿宋"/>
          <w:b/>
          <w:color w:val="000000" w:themeColor="text1"/>
          <w:spacing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细则</w:t>
      </w:r>
      <w:r>
        <w:rPr>
          <w:rFonts w:ascii="仿宋" w:hAnsi="仿宋" w:eastAsia="仿宋"/>
          <w:color w:val="000000" w:themeColor="text1"/>
          <w:spacing w:val="-6"/>
          <w14:textFill>
            <w14:solidFill>
              <w14:schemeClr w14:val="tx1"/>
            </w14:solidFill>
          </w14:textFill>
        </w:rPr>
        <w:t>自印发日</w:t>
      </w:r>
      <w:r>
        <w:rPr>
          <w:rFonts w:ascii="仿宋" w:hAnsi="仿宋" w:eastAsia="仿宋"/>
          <w:color w:val="000000" w:themeColor="text1"/>
          <w:spacing w:val="-7"/>
          <w14:textFill>
            <w14:solidFill>
              <w14:schemeClr w14:val="tx1"/>
            </w14:solidFill>
          </w14:textFill>
        </w:rPr>
        <w:t>起正式施行，原</w:t>
      </w:r>
      <w:r>
        <w:rPr>
          <w:rFonts w:hint="eastAsia" w:ascii="仿宋" w:hAnsi="仿宋" w:eastAsia="仿宋"/>
          <w:color w:val="000000" w:themeColor="text1"/>
          <w:spacing w:val="-7"/>
          <w14:textFill>
            <w14:solidFill>
              <w14:schemeClr w14:val="tx1"/>
            </w14:solidFill>
          </w14:textFill>
        </w:rPr>
        <w:t>细则</w:t>
      </w:r>
      <w:r>
        <w:rPr>
          <w:rFonts w:ascii="仿宋" w:hAnsi="仿宋" w:eastAsia="仿宋"/>
          <w:color w:val="000000" w:themeColor="text1"/>
          <w:spacing w:val="-7"/>
          <w14:textFill>
            <w14:solidFill>
              <w14:schemeClr w14:val="tx1"/>
            </w14:solidFill>
          </w14:textFill>
        </w:rPr>
        <w:t>即行废止。</w:t>
      </w:r>
    </w:p>
    <w:p w14:paraId="6DD27D0A">
      <w:pPr>
        <w:spacing w:line="360" w:lineRule="auto"/>
        <w:ind w:firstLine="44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3F13D3A1">
      <w:pPr>
        <w:pStyle w:val="5"/>
        <w:spacing w:line="360" w:lineRule="auto"/>
        <w:ind w:left="0" w:firstLine="564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4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color w:val="000000" w:themeColor="text1"/>
          <w:spacing w:val="-79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pacing w:val="-10"/>
          <w14:textFill>
            <w14:solidFill>
              <w14:schemeClr w14:val="tx1"/>
            </w14:solidFill>
          </w14:textFill>
        </w:rPr>
        <w:t>1</w:t>
      </w:r>
    </w:p>
    <w:p w14:paraId="76AAB003">
      <w:pPr>
        <w:pStyle w:val="2"/>
        <w:spacing w:line="360" w:lineRule="auto"/>
        <w:ind w:left="0" w:right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pacing w:val="-1"/>
          <w14:textFill>
            <w14:solidFill>
              <w14:schemeClr w14:val="tx1"/>
            </w14:solidFill>
          </w14:textFill>
        </w:rPr>
        <w:t>管理学院本科生</w:t>
      </w:r>
      <w:r>
        <w:rPr>
          <w:rFonts w:hint="eastAsia" w:ascii="黑体" w:hAnsi="黑体" w:eastAsia="黑体"/>
          <w:color w:val="000000" w:themeColor="text1"/>
          <w:spacing w:val="-1"/>
          <w14:textFill>
            <w14:solidFill>
              <w14:schemeClr w14:val="tx1"/>
            </w14:solidFill>
          </w14:textFill>
        </w:rPr>
        <w:t>综测</w:t>
      </w:r>
      <w:r>
        <w:rPr>
          <w:rFonts w:ascii="黑体" w:hAnsi="黑体" w:eastAsia="黑体"/>
          <w:color w:val="000000" w:themeColor="text1"/>
          <w:spacing w:val="-1"/>
          <w14:textFill>
            <w14:solidFill>
              <w14:schemeClr w14:val="tx1"/>
            </w14:solidFill>
          </w14:textFill>
        </w:rPr>
        <w:t>加分标准</w:t>
      </w:r>
    </w:p>
    <w:p w14:paraId="77FA2234">
      <w:pPr>
        <w:spacing w:line="360" w:lineRule="auto"/>
        <w:ind w:firstLine="610" w:firstLineChars="200"/>
        <w:rPr>
          <w:rFonts w:ascii="仿宋" w:hAnsi="仿宋" w:eastAsia="仿宋"/>
          <w:b/>
          <w:color w:val="000000" w:themeColor="text1"/>
          <w:spacing w:val="7"/>
          <w:sz w:val="29"/>
          <w14:textFill>
            <w14:solidFill>
              <w14:schemeClr w14:val="tx1"/>
            </w14:solidFill>
          </w14:textFill>
        </w:rPr>
      </w:pPr>
    </w:p>
    <w:p w14:paraId="6A7D4E8B">
      <w:pPr>
        <w:spacing w:line="360" w:lineRule="auto"/>
        <w:ind w:firstLine="610" w:firstLineChars="200"/>
        <w:rPr>
          <w:rFonts w:ascii="仿宋" w:hAnsi="仿宋" w:eastAsia="仿宋"/>
          <w:b/>
          <w:color w:val="000000" w:themeColor="text1"/>
          <w:sz w:val="29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7"/>
          <w:sz w:val="29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b/>
          <w:color w:val="000000" w:themeColor="text1"/>
          <w:sz w:val="29"/>
          <w14:textFill>
            <w14:solidFill>
              <w14:schemeClr w14:val="tx1"/>
            </w14:solidFill>
          </w14:textFill>
        </w:rPr>
        <w:t>指标：学习</w:t>
      </w:r>
      <w:r>
        <w:rPr>
          <w:rFonts w:hint="eastAsia" w:ascii="仿宋" w:hAnsi="仿宋" w:eastAsia="仿宋"/>
          <w:b/>
          <w:color w:val="000000" w:themeColor="text1"/>
          <w:spacing w:val="-10"/>
          <w:sz w:val="29"/>
          <w14:textFill>
            <w14:solidFill>
              <w14:schemeClr w14:val="tx1"/>
            </w14:solidFill>
          </w14:textFill>
        </w:rPr>
        <w:t>力</w:t>
      </w:r>
    </w:p>
    <w:tbl>
      <w:tblPr>
        <w:tblStyle w:val="1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2417"/>
        <w:gridCol w:w="4693"/>
        <w:gridCol w:w="1665"/>
      </w:tblGrid>
      <w:tr w14:paraId="64854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05" w:type="pct"/>
            <w:vAlign w:val="center"/>
          </w:tcPr>
          <w:p w14:paraId="643B29B9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38" w:type="pct"/>
            <w:vAlign w:val="center"/>
          </w:tcPr>
          <w:p w14:paraId="4CBC8861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具体内容（三级指标）</w:t>
            </w:r>
          </w:p>
        </w:tc>
        <w:tc>
          <w:tcPr>
            <w:tcW w:w="2404" w:type="pct"/>
            <w:vAlign w:val="center"/>
          </w:tcPr>
          <w:p w14:paraId="77C8D9D6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测评点</w:t>
            </w:r>
          </w:p>
        </w:tc>
        <w:tc>
          <w:tcPr>
            <w:tcW w:w="853" w:type="pct"/>
            <w:vAlign w:val="center"/>
          </w:tcPr>
          <w:p w14:paraId="6F59D675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6EE7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05" w:type="pct"/>
            <w:vMerge w:val="restart"/>
            <w:vAlign w:val="center"/>
          </w:tcPr>
          <w:p w14:paraId="4F56BE81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专业素养</w:t>
            </w:r>
          </w:p>
        </w:tc>
        <w:tc>
          <w:tcPr>
            <w:tcW w:w="1238" w:type="pct"/>
            <w:vMerge w:val="restart"/>
            <w:vAlign w:val="center"/>
          </w:tcPr>
          <w:p w14:paraId="4DD73B85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学术竞赛</w:t>
            </w:r>
          </w:p>
          <w:p w14:paraId="5513434B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（最高分：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04" w:type="pct"/>
            <w:vAlign w:val="center"/>
          </w:tcPr>
          <w:p w14:paraId="5F097640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国家级竞赛（一二三等奖，优秀奖）</w:t>
            </w:r>
          </w:p>
        </w:tc>
        <w:tc>
          <w:tcPr>
            <w:tcW w:w="853" w:type="pct"/>
            <w:vAlign w:val="center"/>
          </w:tcPr>
          <w:p w14:paraId="090A6592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15/10/7/5</w:t>
            </w:r>
          </w:p>
        </w:tc>
      </w:tr>
      <w:tr w14:paraId="62124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05" w:type="pct"/>
            <w:vMerge w:val="continue"/>
            <w:vAlign w:val="center"/>
          </w:tcPr>
          <w:p w14:paraId="7DB05698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70F6F070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4C72F631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省级竞赛（一二三等奖）</w:t>
            </w:r>
          </w:p>
        </w:tc>
        <w:tc>
          <w:tcPr>
            <w:tcW w:w="853" w:type="pct"/>
            <w:vAlign w:val="center"/>
          </w:tcPr>
          <w:p w14:paraId="715B993A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10/7/5</w:t>
            </w:r>
          </w:p>
        </w:tc>
      </w:tr>
      <w:tr w14:paraId="66DBE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05" w:type="pct"/>
            <w:vMerge w:val="continue"/>
            <w:vAlign w:val="center"/>
          </w:tcPr>
          <w:p w14:paraId="72555ACB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4F890380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565812C0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校级或市级竞赛（一二三等奖）</w:t>
            </w:r>
          </w:p>
        </w:tc>
        <w:tc>
          <w:tcPr>
            <w:tcW w:w="853" w:type="pct"/>
            <w:vAlign w:val="center"/>
          </w:tcPr>
          <w:p w14:paraId="0BD43402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7/5/3</w:t>
            </w:r>
          </w:p>
        </w:tc>
      </w:tr>
      <w:tr w14:paraId="7912D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505" w:type="pct"/>
            <w:vMerge w:val="continue"/>
            <w:vAlign w:val="center"/>
          </w:tcPr>
          <w:p w14:paraId="1D022E3D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77B48FBB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64FAF443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院级竞赛（一二三等奖）</w:t>
            </w:r>
          </w:p>
        </w:tc>
        <w:tc>
          <w:tcPr>
            <w:tcW w:w="853" w:type="pct"/>
            <w:vAlign w:val="center"/>
          </w:tcPr>
          <w:p w14:paraId="0A79ADF2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3/2/1</w:t>
            </w:r>
          </w:p>
        </w:tc>
      </w:tr>
      <w:tr w14:paraId="1BB8C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05" w:type="pct"/>
            <w:vMerge w:val="continue"/>
            <w:vAlign w:val="center"/>
          </w:tcPr>
          <w:p w14:paraId="2107FB89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4A4972A3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7EBFB612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注：①相关重点企业及社会团体举办的学术竞赛按对应等级加分的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40%计分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。②同一学术论文参加多个论文竞赛并获奖、同一竞赛项目参加多个竞赛并获奖，仅取对应奖项级别的加分最高者，不累加。③参与者加分比例标准统一按照学术论文作者的计分比例标准。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4 \* GB3 </w:instrTex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竞赛等级根据奖状落款的公章认定。⑤美国数学建模大赛O奖、F奖/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奖/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奖/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奖奖计分1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0/5/3/1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，G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MC(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国际企业管理挑战赛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中国赛区一二三等奖计分1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0/5/3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9CD8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05" w:type="pct"/>
            <w:vMerge w:val="continue"/>
            <w:vAlign w:val="center"/>
          </w:tcPr>
          <w:p w14:paraId="1BED9D9E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restart"/>
            <w:vAlign w:val="center"/>
          </w:tcPr>
          <w:p w14:paraId="05C47E55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学术论文</w:t>
            </w:r>
          </w:p>
          <w:p w14:paraId="5E2F44BD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（最高分：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04" w:type="pct"/>
            <w:vAlign w:val="center"/>
          </w:tcPr>
          <w:p w14:paraId="566CF9E6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UTD 24/FT 50期刊发表学术论文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（含已接收、网络在线发表，下同）</w:t>
            </w:r>
          </w:p>
        </w:tc>
        <w:tc>
          <w:tcPr>
            <w:tcW w:w="853" w:type="pct"/>
            <w:vAlign w:val="center"/>
          </w:tcPr>
          <w:p w14:paraId="2DBBD455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0C74E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7D3FD2D6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1488494A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4B7064F0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FMS中文T1类期刊（27种）、SSCI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或S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CI Q1类期刊发表学术论文</w:t>
            </w:r>
          </w:p>
        </w:tc>
        <w:tc>
          <w:tcPr>
            <w:tcW w:w="853" w:type="pct"/>
            <w:vAlign w:val="center"/>
          </w:tcPr>
          <w:p w14:paraId="31DD28D9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7C8D0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7C0CE2CA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15656715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6E30424E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FMS中文T2类期刊（58种）、SSCI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或S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CI Q2类期刊发表学术论文</w:t>
            </w:r>
          </w:p>
        </w:tc>
        <w:tc>
          <w:tcPr>
            <w:tcW w:w="853" w:type="pct"/>
            <w:vAlign w:val="center"/>
          </w:tcPr>
          <w:p w14:paraId="4C6C9495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277D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69108FF0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3B6EE705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28A175D2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在SSCI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或S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CI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期刊Q3、Q4、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中文除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T1和T2类之外的其他CSSCI学术期刊上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发表学术论文</w:t>
            </w:r>
          </w:p>
        </w:tc>
        <w:tc>
          <w:tcPr>
            <w:tcW w:w="853" w:type="pct"/>
            <w:vAlign w:val="center"/>
          </w:tcPr>
          <w:p w14:paraId="5531CC4F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610F5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2D5033C4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78DE9F38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0F8F3051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论文入选国际高水平学术会议（会议列表见附件2）</w:t>
            </w:r>
          </w:p>
        </w:tc>
        <w:tc>
          <w:tcPr>
            <w:tcW w:w="853" w:type="pct"/>
            <w:vAlign w:val="center"/>
          </w:tcPr>
          <w:p w14:paraId="033D4867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20F50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4972E301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577B68D1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6BC31DB1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论文入选国内高水平学术会议（会议列表见附件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3）</w:t>
            </w:r>
          </w:p>
        </w:tc>
        <w:tc>
          <w:tcPr>
            <w:tcW w:w="853" w:type="pct"/>
            <w:vAlign w:val="center"/>
          </w:tcPr>
          <w:p w14:paraId="375708AF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28EA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0D84B9DA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37DAA847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5A767B97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案例入选哈佛、毅伟商学院案例库（含已接收、网络在线发表）</w:t>
            </w:r>
          </w:p>
        </w:tc>
        <w:tc>
          <w:tcPr>
            <w:tcW w:w="853" w:type="pct"/>
            <w:vAlign w:val="center"/>
          </w:tcPr>
          <w:p w14:paraId="0E703ADB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6AB96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10229A70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1A8B64A6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70A1035A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案例入选中国管理案例共享中心案例库、中国工商管理国际案例库、中国工商管理案例库（含已接收、网络在线发表）</w:t>
            </w:r>
          </w:p>
        </w:tc>
        <w:tc>
          <w:tcPr>
            <w:tcW w:w="853" w:type="pct"/>
            <w:vAlign w:val="center"/>
          </w:tcPr>
          <w:p w14:paraId="6C0A85BC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C497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11548453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7265124F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</w:tcPr>
          <w:p w14:paraId="2A7C4400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①以上成果所有权需注明中山大学管理学院成果，成果与管理学院学科相关，同时作者团队中需有本院教师。②为鼓励创新，获得期刊修改后重新提交（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revise &amp; resubmit, R&amp;R）机会的论文计分比例为50%，获得有条件接收（conditional acceptance）机会的论文计分比例为100%，获得期刊拒稿后重新提交（reject &amp; resubmit）机会的论文不计分。获得R&amp;R但最终被拒稿仍计分。上述认定以主编/副主编决定邮件（decision letter）或投稿系统显示为准。这条规则只适用于：UTD 24/FT 50期刊、FMS中文T1类期刊（27种）、SSCI或SCI Q1类期刊论文；同时，投稿时就在作者团队中（R&amp;R时新增的作者不计分）。 ③第一作者计分比例为100%，第二作者计分比例为70%，第三作者计分比例为50%，第四作者至第五作者计分比例为30%，第六作者及至第八作者计分比例为15%，第九作者及以后作者计分比例为10%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（在综测中，不限制本院本科生数量）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。会议论文只计算学生为第一作者的情况。不考虑共同作者情况，只按作者先后顺序。④对于英文成果，若作者顺序是根据姓氏首字母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排序（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lphabetical），需提供资料证明发表期刊采用作者姓氏首字母排序的通用做法，每篇论文根据学生排序对应计分比例加总得分，再平均分配。⑤申请人与直系亲属合作的成果仅做参考，不计分。⑥英文成果在中科院国际期刊预警名单的，不计分（近三年中任一年在此名单中均不计分）。⑦期刊论文只计算研究论文，短文、会议综述等其他类型论文不计分；会议论文只计算提交全文的会议论文，提交摘要的会议论文不计分。⑧每篇论文仅计分一次，不重复叠加计算；发表多篇案例，只计算1篇。⑨SSCI/SCI期刊目录分区按近JCR三年最高分区计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算。</w:t>
            </w:r>
          </w:p>
        </w:tc>
      </w:tr>
      <w:tr w14:paraId="6EC1B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5DB9EE1C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restart"/>
            <w:vAlign w:val="center"/>
          </w:tcPr>
          <w:p w14:paraId="40F09A7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科研项目</w:t>
            </w:r>
          </w:p>
          <w:p w14:paraId="69619499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（最高分：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15）</w:t>
            </w:r>
          </w:p>
        </w:tc>
        <w:tc>
          <w:tcPr>
            <w:tcW w:w="2404" w:type="pct"/>
            <w:vAlign w:val="center"/>
          </w:tcPr>
          <w:p w14:paraId="00193FC4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国家级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53" w:type="pct"/>
            <w:vAlign w:val="center"/>
          </w:tcPr>
          <w:p w14:paraId="63AFEA7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0D551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18EDEA88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7A4B221E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648E69EB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省级项目</w:t>
            </w:r>
          </w:p>
        </w:tc>
        <w:tc>
          <w:tcPr>
            <w:tcW w:w="853" w:type="pct"/>
            <w:vAlign w:val="center"/>
          </w:tcPr>
          <w:p w14:paraId="46823C6E">
            <w:pPr>
              <w:spacing w:line="360" w:lineRule="auto"/>
              <w:jc w:val="center"/>
              <w:rPr>
                <w:rFonts w:ascii="仿宋" w:hAnsi="仿宋" w:eastAsia="仿宋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86E5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15355033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39527B7C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4B937E3B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校级或市级项目</w:t>
            </w:r>
          </w:p>
        </w:tc>
        <w:tc>
          <w:tcPr>
            <w:tcW w:w="853" w:type="pct"/>
            <w:vAlign w:val="center"/>
          </w:tcPr>
          <w:p w14:paraId="745E8056"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2EE62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6C90EDAD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0EFB086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0BA3787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院级项目</w:t>
            </w:r>
          </w:p>
        </w:tc>
        <w:tc>
          <w:tcPr>
            <w:tcW w:w="853" w:type="pct"/>
            <w:vAlign w:val="center"/>
          </w:tcPr>
          <w:p w14:paraId="19500BEC"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DE8B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4FABE3E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1051FA1F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33F52066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注：①若仅参与课题研究项目但未在该课题项目中署名，不予加分。②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参与者加分比例标准统一按照学术论文作者的计分比例标准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。③立项时间在参评区间内予以加分，若为上一区间立项不可加分。</w:t>
            </w:r>
          </w:p>
        </w:tc>
      </w:tr>
      <w:tr w14:paraId="7249C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43EE8F5B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restart"/>
            <w:vAlign w:val="center"/>
          </w:tcPr>
          <w:p w14:paraId="31FE7D5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出版学术著作</w:t>
            </w:r>
          </w:p>
          <w:p w14:paraId="0B1A2515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（最高分：20）</w:t>
            </w:r>
          </w:p>
        </w:tc>
        <w:tc>
          <w:tcPr>
            <w:tcW w:w="2404" w:type="pct"/>
            <w:vAlign w:val="center"/>
          </w:tcPr>
          <w:p w14:paraId="050D40E4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著作作者</w:t>
            </w:r>
          </w:p>
        </w:tc>
        <w:tc>
          <w:tcPr>
            <w:tcW w:w="853" w:type="pct"/>
            <w:vAlign w:val="center"/>
          </w:tcPr>
          <w:p w14:paraId="687F2F63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129D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13EB3D31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4297316E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3D501E61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编著主编 (注：案例集不算)</w:t>
            </w:r>
          </w:p>
        </w:tc>
        <w:tc>
          <w:tcPr>
            <w:tcW w:w="853" w:type="pct"/>
            <w:vAlign w:val="center"/>
          </w:tcPr>
          <w:p w14:paraId="45AA4BC6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7A5B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05" w:type="pct"/>
            <w:vMerge w:val="continue"/>
            <w:vAlign w:val="center"/>
          </w:tcPr>
          <w:p w14:paraId="2C4E95A4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5DCF904A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7EDF4D4E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需证明为该著作作者或编著主编。若仅证明参与撰写了著作或编著中某一部分，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不予加分。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instrText xml:space="preserve"> = 2 \* GB3 </w:instrTex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参与者加分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比例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标准统一按照学术论文作者的计分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比例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2D93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32765525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restart"/>
            <w:vAlign w:val="center"/>
          </w:tcPr>
          <w:p w14:paraId="7B6AF095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创业创新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“挑战杯”中国大学生创业计划竞赛、国际大学生创新大赛（原“互联网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+”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大学生创新创业大赛）</w:t>
            </w:r>
          </w:p>
          <w:p w14:paraId="00AD37AC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（最高分：20）</w:t>
            </w:r>
          </w:p>
        </w:tc>
        <w:tc>
          <w:tcPr>
            <w:tcW w:w="2404" w:type="pct"/>
            <w:vAlign w:val="center"/>
          </w:tcPr>
          <w:p w14:paraId="72D58CCC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国家级奖：特等奖、一等奖（或金奖）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/二等奖（或银奖）/三等奖（或铜奖）</w:t>
            </w:r>
          </w:p>
        </w:tc>
        <w:tc>
          <w:tcPr>
            <w:tcW w:w="853" w:type="pct"/>
            <w:vAlign w:val="center"/>
          </w:tcPr>
          <w:p w14:paraId="103D830D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30/25/20</w:t>
            </w:r>
          </w:p>
        </w:tc>
      </w:tr>
      <w:tr w14:paraId="62B53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02AECEF9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0746D6AD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0FBD9FD1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广东省级奖：特等奖、一等奖（或金奖）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/二等奖（或银奖）/三等奖（或铜奖）</w:t>
            </w:r>
          </w:p>
        </w:tc>
        <w:tc>
          <w:tcPr>
            <w:tcW w:w="853" w:type="pct"/>
            <w:vAlign w:val="center"/>
          </w:tcPr>
          <w:p w14:paraId="43A66D2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20/15/10</w:t>
            </w:r>
          </w:p>
        </w:tc>
      </w:tr>
      <w:tr w14:paraId="186C8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5CC9B0C5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408F5673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55F44E4C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注：①参与者加分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比例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标准统一按照学术论文作者的计分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比例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标准（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在综测中，不限制本院本科生数量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。②只计算“挑战杯”中国大学生创业计划竞赛获奖，“挑战杯”全国大学生课外学术科技作品竞赛获奖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计入学术竞赛栏目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。③每个项目仅计分一次，不重复叠加计算。</w:t>
            </w:r>
          </w:p>
        </w:tc>
      </w:tr>
      <w:tr w14:paraId="717FD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restart"/>
            <w:vAlign w:val="center"/>
          </w:tcPr>
          <w:p w14:paraId="0B2370EA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文体素养</w:t>
            </w:r>
          </w:p>
        </w:tc>
        <w:tc>
          <w:tcPr>
            <w:tcW w:w="1238" w:type="pct"/>
            <w:vMerge w:val="restart"/>
            <w:vAlign w:val="center"/>
          </w:tcPr>
          <w:p w14:paraId="69AF6904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文艺赛事</w:t>
            </w:r>
          </w:p>
          <w:p w14:paraId="095CBE82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（最高分：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7.5）</w:t>
            </w:r>
          </w:p>
        </w:tc>
        <w:tc>
          <w:tcPr>
            <w:tcW w:w="2404" w:type="pct"/>
            <w:vAlign w:val="center"/>
          </w:tcPr>
          <w:p w14:paraId="460544F6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国家级文艺赛事</w:t>
            </w:r>
          </w:p>
          <w:p w14:paraId="533372FF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（一二三等奖、优秀奖）</w:t>
            </w:r>
          </w:p>
        </w:tc>
        <w:tc>
          <w:tcPr>
            <w:tcW w:w="853" w:type="pct"/>
            <w:vAlign w:val="center"/>
          </w:tcPr>
          <w:p w14:paraId="77CF9479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7.5/5/3.5/2.5</w:t>
            </w:r>
          </w:p>
        </w:tc>
      </w:tr>
      <w:tr w14:paraId="09075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519F50CC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67EB8649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518B991A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省级文艺赛事</w:t>
            </w:r>
          </w:p>
          <w:p w14:paraId="737D5A93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（一二三等奖）</w:t>
            </w:r>
          </w:p>
        </w:tc>
        <w:tc>
          <w:tcPr>
            <w:tcW w:w="853" w:type="pct"/>
            <w:vAlign w:val="center"/>
          </w:tcPr>
          <w:p w14:paraId="2B08BB54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5/3.5/2.5</w:t>
            </w:r>
          </w:p>
        </w:tc>
      </w:tr>
      <w:tr w14:paraId="6B4C9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505" w:type="pct"/>
            <w:vMerge w:val="continue"/>
            <w:vAlign w:val="center"/>
          </w:tcPr>
          <w:p w14:paraId="7AB3F9CC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6582FC12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6D0D2D35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校级或市级文艺赛事</w:t>
            </w:r>
          </w:p>
          <w:p w14:paraId="2D8C2EF5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（一二三等奖）</w:t>
            </w:r>
          </w:p>
        </w:tc>
        <w:tc>
          <w:tcPr>
            <w:tcW w:w="853" w:type="pct"/>
            <w:vAlign w:val="center"/>
          </w:tcPr>
          <w:p w14:paraId="75F24BA3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3.5/2.5/1.5</w:t>
            </w:r>
          </w:p>
        </w:tc>
      </w:tr>
      <w:tr w14:paraId="2D574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741E1D9E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42632A9D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71669862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院级文艺赛事</w:t>
            </w:r>
          </w:p>
          <w:p w14:paraId="07F0CF28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（一二三等奖）</w:t>
            </w:r>
          </w:p>
        </w:tc>
        <w:tc>
          <w:tcPr>
            <w:tcW w:w="853" w:type="pct"/>
            <w:vAlign w:val="center"/>
          </w:tcPr>
          <w:p w14:paraId="3C47E635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1.5/1/0.5</w:t>
            </w:r>
          </w:p>
        </w:tc>
      </w:tr>
      <w:tr w14:paraId="3C400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093E73B3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3BE947E2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27D89E5C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注：①相关重点企业及社会团体举办的文艺竞赛按对应等级加分的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40%计分。②同一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参加多个竞赛并获奖、同一竞赛项目参加多个竞赛并获奖，仅取对应奖项级别的加分最高者，不累加。③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不设一二三等奖的竞赛项目统一按二等奖计算。④“百歌颂中华”所有奖项按照院级文艺赛事一等奖计算。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⑤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竞赛等级根据奖状落款的公章认定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2040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7F822314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restart"/>
            <w:vAlign w:val="center"/>
          </w:tcPr>
          <w:p w14:paraId="3E88AB3B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体育赛事</w:t>
            </w:r>
          </w:p>
          <w:p w14:paraId="1C1DBEBE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（最高分：7.5）</w:t>
            </w:r>
          </w:p>
        </w:tc>
        <w:tc>
          <w:tcPr>
            <w:tcW w:w="2404" w:type="pct"/>
            <w:vAlign w:val="center"/>
          </w:tcPr>
          <w:p w14:paraId="3C2B3D5D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国家级体育赛事</w:t>
            </w:r>
          </w:p>
          <w:p w14:paraId="61DDF76B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（一二三名、优秀奖）</w:t>
            </w:r>
          </w:p>
        </w:tc>
        <w:tc>
          <w:tcPr>
            <w:tcW w:w="853" w:type="pct"/>
            <w:vAlign w:val="center"/>
          </w:tcPr>
          <w:p w14:paraId="4032A58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7.5/5/3.5/2.5</w:t>
            </w:r>
          </w:p>
        </w:tc>
      </w:tr>
      <w:tr w14:paraId="32363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1F5B9AF1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1853CD38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61F4A3A0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省级体育赛事</w:t>
            </w:r>
          </w:p>
          <w:p w14:paraId="01361981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（一二三名、优秀奖)</w:t>
            </w:r>
          </w:p>
        </w:tc>
        <w:tc>
          <w:tcPr>
            <w:tcW w:w="853" w:type="pct"/>
            <w:vAlign w:val="center"/>
          </w:tcPr>
          <w:p w14:paraId="4200C299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5/3.5/2.5/1.5</w:t>
            </w:r>
          </w:p>
        </w:tc>
      </w:tr>
      <w:tr w14:paraId="62307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65D9150B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540941CD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022E4A84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校级或市级体育赛事</w:t>
            </w:r>
          </w:p>
          <w:p w14:paraId="44ED52CA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（一二三名）</w:t>
            </w:r>
          </w:p>
        </w:tc>
        <w:tc>
          <w:tcPr>
            <w:tcW w:w="853" w:type="pct"/>
            <w:vAlign w:val="center"/>
          </w:tcPr>
          <w:p w14:paraId="5F8DE8FF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3.5/2.5/1.5</w:t>
            </w:r>
          </w:p>
        </w:tc>
      </w:tr>
      <w:tr w14:paraId="462E1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7895FA40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2CAE5D8A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38474D60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院级体育赛事（一二三名）</w:t>
            </w:r>
          </w:p>
        </w:tc>
        <w:tc>
          <w:tcPr>
            <w:tcW w:w="853" w:type="pct"/>
            <w:vAlign w:val="center"/>
          </w:tcPr>
          <w:p w14:paraId="22703857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1.5/1/0.5</w:t>
            </w:r>
          </w:p>
        </w:tc>
      </w:tr>
      <w:tr w14:paraId="54CE3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2CEF6CD2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782E8702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2BFE45F3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①相关重点企业及社会团体举办的体育竞赛按对应等级加分的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40%计分；②体育赛事需要获名次（即第X名）才可加分;③破纪录成绩在第一名基础上额外加3分；第四五六七八名统一为优秀奖；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instrText xml:space="preserve"> = 4 \* GB3 </w:instrTex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竞赛等级根据奖状落款的公章认定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⑤“健康之星”、“体育之星”加1分。⑥校区级比赛按照院级奖励执行。</w:t>
            </w:r>
          </w:p>
        </w:tc>
      </w:tr>
      <w:tr w14:paraId="24555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0603E6DB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restart"/>
            <w:vAlign w:val="center"/>
          </w:tcPr>
          <w:p w14:paraId="5EBC1C79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文化知识竞赛等其他赛事</w:t>
            </w:r>
          </w:p>
          <w:p w14:paraId="719D41A5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（最高分：7.5）</w:t>
            </w:r>
          </w:p>
        </w:tc>
        <w:tc>
          <w:tcPr>
            <w:tcW w:w="2404" w:type="pct"/>
            <w:vAlign w:val="center"/>
          </w:tcPr>
          <w:p w14:paraId="38EC422A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国家级赛事（一二三等奖、优秀奖）</w:t>
            </w:r>
          </w:p>
        </w:tc>
        <w:tc>
          <w:tcPr>
            <w:tcW w:w="853" w:type="pct"/>
            <w:vAlign w:val="center"/>
          </w:tcPr>
          <w:p w14:paraId="5AB31C66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7.5/5/3.5/2.5</w:t>
            </w:r>
          </w:p>
        </w:tc>
      </w:tr>
      <w:tr w14:paraId="55A75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792D8870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62D817C9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171577D4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省级赛事（一二三等奖）</w:t>
            </w:r>
          </w:p>
        </w:tc>
        <w:tc>
          <w:tcPr>
            <w:tcW w:w="853" w:type="pct"/>
            <w:vAlign w:val="center"/>
          </w:tcPr>
          <w:p w14:paraId="2DA2B285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5/3.5/2.5</w:t>
            </w:r>
          </w:p>
        </w:tc>
      </w:tr>
      <w:tr w14:paraId="3AF52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1086203A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048F1A6E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00F59AC6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校级或市赛事（一二三等奖）</w:t>
            </w:r>
          </w:p>
        </w:tc>
        <w:tc>
          <w:tcPr>
            <w:tcW w:w="853" w:type="pct"/>
            <w:vAlign w:val="center"/>
          </w:tcPr>
          <w:p w14:paraId="693F42DE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3.5/2.5/1.5</w:t>
            </w:r>
          </w:p>
        </w:tc>
      </w:tr>
      <w:tr w14:paraId="2EDBF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6AE10C34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569E1782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pct"/>
            <w:vAlign w:val="center"/>
          </w:tcPr>
          <w:p w14:paraId="09F8B05E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院级赛事（一二三等奖）</w:t>
            </w:r>
          </w:p>
        </w:tc>
        <w:tc>
          <w:tcPr>
            <w:tcW w:w="853" w:type="pct"/>
            <w:vAlign w:val="center"/>
          </w:tcPr>
          <w:p w14:paraId="2492CD55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1.5/1/0.5</w:t>
            </w:r>
          </w:p>
        </w:tc>
      </w:tr>
      <w:tr w14:paraId="576A9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505" w:type="pct"/>
            <w:vMerge w:val="continue"/>
            <w:vAlign w:val="center"/>
          </w:tcPr>
          <w:p w14:paraId="48CA34BE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1056410E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25520A87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①相关重点企业及社会团体举办的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文化知识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竞赛按对应等级加分的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40%计分；②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网络知识竞赛不计分；③“外研社杯”根据赛事等级进行加分，不视作“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相关重点企业及社会团体举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办的地方性赛事”。④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竞赛等级根据奖状落款的公章认定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1F00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Align w:val="center"/>
          </w:tcPr>
          <w:p w14:paraId="5CC0B6E2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</w:tcPr>
          <w:p w14:paraId="6834EBF8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514D6A33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注：①同一赛事竞赛仅按最高分计算一次，不重复加分。团队比赛队员按对应获奖级别加分，团队负责人等不参加比赛的不加分。②团体赛事的加分事宜：体育赛事主力成员统一计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100%，非主力成员统一按照对应等级分数的50%加分；文艺赛事、文化知识竞赛等主力成员统一按照对应等级分数的50%加分，非主力成员统一按照对应等级分数的20%加分；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2人以上项目，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主力成员不得超过总人数的50%，其他成员作为非主力成员。主力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成员证明需说明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主力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成员总数与姓名、该组织的总人数、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主力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成员的选择经组织内部协商确定（如班级微信群公示截图等）、权威落款（团队签名等）。</w:t>
            </w:r>
          </w:p>
        </w:tc>
      </w:tr>
      <w:tr w14:paraId="66CE5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restart"/>
            <w:vAlign w:val="center"/>
          </w:tcPr>
          <w:p w14:paraId="2A703062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学科交叉</w:t>
            </w:r>
          </w:p>
        </w:tc>
        <w:tc>
          <w:tcPr>
            <w:tcW w:w="1238" w:type="pct"/>
            <w:vMerge w:val="restart"/>
          </w:tcPr>
          <w:p w14:paraId="66F45FC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选修课程</w:t>
            </w:r>
          </w:p>
          <w:p w14:paraId="2CFCE42A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（最高分：5）</w:t>
            </w:r>
          </w:p>
        </w:tc>
        <w:tc>
          <w:tcPr>
            <w:tcW w:w="3257" w:type="pct"/>
            <w:gridSpan w:val="2"/>
            <w:vAlign w:val="center"/>
          </w:tcPr>
          <w:p w14:paraId="7CC9DA73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选修理学部、工学部、信息学部、医学部开设课程（辅修、微专业课程视为专业课程），通过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1门公选课程计2分，通过1门专业课程计3分</w:t>
            </w:r>
          </w:p>
        </w:tc>
      </w:tr>
      <w:tr w14:paraId="5CE81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1752E563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6236BC63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68E60F5C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注：①选修并通过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1门教务部 “国际化科研拓展训练系列课程”（课程属性须与理学部、工学部、信息学部或医学部的专业相符）计1分；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每学年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此部分加分最高2分。</w:t>
            </w:r>
          </w:p>
        </w:tc>
      </w:tr>
      <w:tr w14:paraId="51203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39FE1232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restart"/>
          </w:tcPr>
          <w:p w14:paraId="07FBE97F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交叉竞赛获奖</w:t>
            </w:r>
          </w:p>
          <w:p w14:paraId="630CE8F8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（最高分：20）</w:t>
            </w:r>
          </w:p>
        </w:tc>
        <w:tc>
          <w:tcPr>
            <w:tcW w:w="3257" w:type="pct"/>
            <w:gridSpan w:val="2"/>
            <w:vAlign w:val="center"/>
          </w:tcPr>
          <w:p w14:paraId="01526603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中国大学生程序设计竞赛（CCPC）奖项：金奖20分，银奖15分，铜奖10分</w:t>
            </w:r>
          </w:p>
        </w:tc>
      </w:tr>
      <w:tr w14:paraId="22FA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0417BFE4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1E2940DB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2FA9DFC9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国际大学生程序设计竞赛（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ICPC）奖项：全球总决赛金奖/银奖/铜奖20分；亚洲区域赛区决赛金奖20分，银奖15分，铜奖10分；亚洲区域分赛区按照对应奖项的50%计分</w:t>
            </w:r>
          </w:p>
        </w:tc>
      </w:tr>
      <w:tr w14:paraId="326EB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0CF2FA23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6072B581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2BA9F6D2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中国大学生数学竞赛（CMC）决赛奖项：非数学类一等奖15分，非数学类二等奖10分，非数学类三等奖5分</w:t>
            </w:r>
          </w:p>
        </w:tc>
      </w:tr>
      <w:tr w14:paraId="406E6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5" w:type="pct"/>
            <w:vMerge w:val="continue"/>
            <w:vAlign w:val="center"/>
          </w:tcPr>
          <w:p w14:paraId="6D270AB1">
            <w:pPr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0DD22489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51D0558A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注：①只计算前三名参与者，按上述分值全额计算。②每一项竞赛按照最高分计分，不重复叠加计分。</w:t>
            </w:r>
          </w:p>
        </w:tc>
      </w:tr>
    </w:tbl>
    <w:p w14:paraId="4795BB30">
      <w:pPr>
        <w:pStyle w:val="5"/>
        <w:spacing w:line="360" w:lineRule="auto"/>
        <w:ind w:left="0" w:firstLine="40" w:firstLineChars="200"/>
        <w:rPr>
          <w:rFonts w:ascii="仿宋" w:hAnsi="仿宋" w:eastAsia="仿宋"/>
          <w:b/>
          <w:color w:val="000000" w:themeColor="text1"/>
          <w:sz w:val="2"/>
          <w14:textFill>
            <w14:solidFill>
              <w14:schemeClr w14:val="tx1"/>
            </w14:solidFill>
          </w14:textFill>
        </w:rPr>
      </w:pPr>
    </w:p>
    <w:p w14:paraId="2EE29000">
      <w:pPr>
        <w:spacing w:line="360" w:lineRule="auto"/>
        <w:rPr>
          <w:rFonts w:ascii="仿宋" w:hAnsi="仿宋" w:eastAsia="仿宋"/>
          <w:b/>
          <w:color w:val="000000" w:themeColor="text1"/>
          <w:spacing w:val="7"/>
          <w:sz w:val="29"/>
          <w14:textFill>
            <w14:solidFill>
              <w14:schemeClr w14:val="tx1"/>
            </w14:solidFill>
          </w14:textFill>
        </w:rPr>
      </w:pPr>
    </w:p>
    <w:p w14:paraId="44BB2CD6">
      <w:pPr>
        <w:spacing w:line="360" w:lineRule="auto"/>
        <w:ind w:firstLine="610" w:firstLineChars="200"/>
        <w:rPr>
          <w:rFonts w:ascii="仿宋" w:hAnsi="仿宋" w:eastAsia="仿宋"/>
          <w:b/>
          <w:color w:val="000000" w:themeColor="text1"/>
          <w:spacing w:val="-10"/>
          <w:sz w:val="29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7"/>
          <w:sz w:val="29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b/>
          <w:color w:val="000000" w:themeColor="text1"/>
          <w:sz w:val="29"/>
          <w14:textFill>
            <w14:solidFill>
              <w14:schemeClr w14:val="tx1"/>
            </w14:solidFill>
          </w14:textFill>
        </w:rPr>
        <w:t>指标：思想</w:t>
      </w:r>
      <w:r>
        <w:rPr>
          <w:rFonts w:hint="eastAsia" w:ascii="仿宋" w:hAnsi="仿宋" w:eastAsia="仿宋"/>
          <w:b/>
          <w:color w:val="000000" w:themeColor="text1"/>
          <w:spacing w:val="-10"/>
          <w:sz w:val="29"/>
          <w14:textFill>
            <w14:solidFill>
              <w14:schemeClr w14:val="tx1"/>
            </w14:solidFill>
          </w14:textFill>
        </w:rPr>
        <w:t>力</w:t>
      </w:r>
    </w:p>
    <w:tbl>
      <w:tblPr>
        <w:tblStyle w:val="1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2417"/>
        <w:gridCol w:w="4419"/>
        <w:gridCol w:w="1938"/>
      </w:tblGrid>
      <w:tr w14:paraId="3A282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5" w:type="pct"/>
            <w:vAlign w:val="center"/>
          </w:tcPr>
          <w:p w14:paraId="37734396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38" w:type="pct"/>
            <w:vAlign w:val="center"/>
          </w:tcPr>
          <w:p w14:paraId="5BF4AFA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2264" w:type="pct"/>
            <w:vAlign w:val="center"/>
          </w:tcPr>
          <w:p w14:paraId="5504660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测评点</w:t>
            </w:r>
          </w:p>
        </w:tc>
        <w:tc>
          <w:tcPr>
            <w:tcW w:w="993" w:type="pct"/>
            <w:vAlign w:val="center"/>
          </w:tcPr>
          <w:p w14:paraId="24CBD146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5469E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505" w:type="pct"/>
            <w:vMerge w:val="restart"/>
            <w:vAlign w:val="center"/>
          </w:tcPr>
          <w:p w14:paraId="2E63A8F8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理想信念</w:t>
            </w:r>
          </w:p>
        </w:tc>
        <w:tc>
          <w:tcPr>
            <w:tcW w:w="1238" w:type="pct"/>
            <w:vMerge w:val="restart"/>
            <w:vAlign w:val="center"/>
          </w:tcPr>
          <w:p w14:paraId="40560E08">
            <w:pPr>
              <w:pStyle w:val="16"/>
              <w:tabs>
                <w:tab w:val="left" w:pos="455"/>
              </w:tabs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1）践行民族团结精神；践行社会主义核心价值观；</w:t>
            </w:r>
          </w:p>
          <w:p w14:paraId="40651DE0">
            <w:pPr>
              <w:pStyle w:val="16"/>
              <w:tabs>
                <w:tab w:val="left" w:pos="455"/>
              </w:tabs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2）积极学习马克思列宁主义、毛泽东思想，以及中国特色社会主义理论体系等内容。</w:t>
            </w:r>
          </w:p>
          <w:p w14:paraId="0237F378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（最高分：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64" w:type="pct"/>
            <w:vAlign w:val="center"/>
          </w:tcPr>
          <w:p w14:paraId="3783F4F2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在全国性党报上（人民日报、光明日报等）发表理论文章</w:t>
            </w:r>
          </w:p>
        </w:tc>
        <w:tc>
          <w:tcPr>
            <w:tcW w:w="993" w:type="pct"/>
            <w:vAlign w:val="center"/>
          </w:tcPr>
          <w:p w14:paraId="5C58C427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6B06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505" w:type="pct"/>
            <w:vMerge w:val="continue"/>
            <w:vAlign w:val="center"/>
          </w:tcPr>
          <w:p w14:paraId="7ECEDF34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  <w:vAlign w:val="center"/>
          </w:tcPr>
          <w:p w14:paraId="6155CF4A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pct"/>
            <w:vAlign w:val="center"/>
          </w:tcPr>
          <w:p w14:paraId="33FE3E66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参加各类理论学习班并在省级以上（含省级）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/院级以上（含院级）平台发表学习心得报告/参加院级（含院级）以上理想信念活动 5 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次以上（半天计为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1次，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同一活动按时间累积最多计算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3次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3" w:type="pct"/>
            <w:vAlign w:val="center"/>
          </w:tcPr>
          <w:p w14:paraId="3BAC93D7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3/1/0.5</w:t>
            </w:r>
          </w:p>
        </w:tc>
      </w:tr>
      <w:tr w14:paraId="64085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505" w:type="pct"/>
            <w:vAlign w:val="center"/>
          </w:tcPr>
          <w:p w14:paraId="19A6FE67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道德品行</w:t>
            </w:r>
          </w:p>
        </w:tc>
        <w:tc>
          <w:tcPr>
            <w:tcW w:w="1238" w:type="pct"/>
            <w:vAlign w:val="center"/>
          </w:tcPr>
          <w:p w14:paraId="367A6719">
            <w:pPr>
              <w:pStyle w:val="16"/>
              <w:tabs>
                <w:tab w:val="left" w:pos="455"/>
              </w:tabs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1）诚实守信；</w:t>
            </w:r>
          </w:p>
          <w:p w14:paraId="10D1EDF8">
            <w:pPr>
              <w:pStyle w:val="16"/>
              <w:tabs>
                <w:tab w:val="left" w:pos="455"/>
              </w:tabs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2）注重文明礼仪；</w:t>
            </w:r>
          </w:p>
          <w:p w14:paraId="60A30C4C">
            <w:pPr>
              <w:pStyle w:val="16"/>
              <w:tabs>
                <w:tab w:val="left" w:pos="455"/>
              </w:tabs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3）在助人为乐、拾金不昧、见义勇为、孝老爱亲等方面表现突出；</w:t>
            </w:r>
          </w:p>
          <w:p w14:paraId="6A1BAB34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（最高分：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64" w:type="pct"/>
            <w:vAlign w:val="center"/>
          </w:tcPr>
          <w:p w14:paraId="4283E3CD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见义勇为、拾金不昧、助人为乐受到国家级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/省级/校级表彰</w:t>
            </w:r>
          </w:p>
        </w:tc>
        <w:tc>
          <w:tcPr>
            <w:tcW w:w="993" w:type="pct"/>
            <w:vAlign w:val="center"/>
          </w:tcPr>
          <w:p w14:paraId="58C6F741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10/7/3</w:t>
            </w:r>
          </w:p>
        </w:tc>
      </w:tr>
      <w:tr w14:paraId="44807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05" w:type="pct"/>
            <w:vMerge w:val="restart"/>
            <w:vAlign w:val="center"/>
          </w:tcPr>
          <w:p w14:paraId="400CB44A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追求卓越</w:t>
            </w:r>
          </w:p>
        </w:tc>
        <w:tc>
          <w:tcPr>
            <w:tcW w:w="1238" w:type="pct"/>
            <w:vMerge w:val="restart"/>
            <w:vAlign w:val="center"/>
          </w:tcPr>
          <w:p w14:paraId="426D63DC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社会工作与荣誉</w:t>
            </w:r>
          </w:p>
          <w:p w14:paraId="799CB4C0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（最高分：10）</w:t>
            </w:r>
          </w:p>
        </w:tc>
        <w:tc>
          <w:tcPr>
            <w:tcW w:w="2264" w:type="pct"/>
            <w:vAlign w:val="center"/>
          </w:tcPr>
          <w:p w14:paraId="2732B440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担任中华全国学生联合会主席（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副主席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/广东省学生联合会主席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副主席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，工作满一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年，考核合格</w:t>
            </w:r>
          </w:p>
        </w:tc>
        <w:tc>
          <w:tcPr>
            <w:tcW w:w="993" w:type="pct"/>
            <w:vAlign w:val="center"/>
          </w:tcPr>
          <w:p w14:paraId="5F39B924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20/15</w:t>
            </w:r>
          </w:p>
        </w:tc>
      </w:tr>
      <w:tr w14:paraId="29528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505" w:type="pct"/>
            <w:vMerge w:val="continue"/>
          </w:tcPr>
          <w:p w14:paraId="0F1F8DB8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488C816B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pct"/>
            <w:vAlign w:val="center"/>
          </w:tcPr>
          <w:p w14:paraId="514DBAD7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担任校学生会主席团、校团委学生兼职副书记等学校发文的学生干部，工作满一年，考核合格</w:t>
            </w:r>
          </w:p>
        </w:tc>
        <w:tc>
          <w:tcPr>
            <w:tcW w:w="993" w:type="pct"/>
            <w:vAlign w:val="center"/>
          </w:tcPr>
          <w:p w14:paraId="2E05A332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9164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505" w:type="pct"/>
            <w:vMerge w:val="continue"/>
          </w:tcPr>
          <w:p w14:paraId="2CB490A0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261D1D99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pct"/>
            <w:vAlign w:val="center"/>
          </w:tcPr>
          <w:p w14:paraId="46053765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担任校级学生会部门负责人、校团委部门负责人、学院团委学生兼职副书记、团委轮值负责人、学院学生会主席团等，工作满一年，考核合格</w:t>
            </w:r>
          </w:p>
        </w:tc>
        <w:tc>
          <w:tcPr>
            <w:tcW w:w="993" w:type="pct"/>
            <w:vAlign w:val="center"/>
          </w:tcPr>
          <w:p w14:paraId="512AFC1A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C183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505" w:type="pct"/>
            <w:vMerge w:val="continue"/>
          </w:tcPr>
          <w:p w14:paraId="1164D03B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63953103">
            <w:pPr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pct"/>
            <w:vAlign w:val="center"/>
          </w:tcPr>
          <w:p w14:paraId="6D86282A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担任校级社团主要负责人（正职）、院学生会部门负责人、院团委部门负责人、学生党支部副书记、班长、团支部书记等，工作满一年，考核合格</w:t>
            </w:r>
          </w:p>
        </w:tc>
        <w:tc>
          <w:tcPr>
            <w:tcW w:w="993" w:type="pct"/>
            <w:vAlign w:val="center"/>
          </w:tcPr>
          <w:p w14:paraId="4EBFB88F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8A7F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05" w:type="pct"/>
            <w:vMerge w:val="continue"/>
          </w:tcPr>
          <w:p w14:paraId="5F19CCF9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7BD95D4C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pct"/>
            <w:vAlign w:val="center"/>
          </w:tcPr>
          <w:p w14:paraId="2977D70E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获国家/省/市或校/院级表彰的先进党团班集体、优秀学生社团主要负责人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加分总分</w:t>
            </w:r>
          </w:p>
        </w:tc>
        <w:tc>
          <w:tcPr>
            <w:tcW w:w="993" w:type="pct"/>
            <w:vAlign w:val="center"/>
          </w:tcPr>
          <w:p w14:paraId="75820934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10/7/5/3</w:t>
            </w:r>
          </w:p>
        </w:tc>
      </w:tr>
      <w:tr w14:paraId="3710C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05" w:type="pct"/>
            <w:vMerge w:val="continue"/>
          </w:tcPr>
          <w:p w14:paraId="3B9E6747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46ECF4B2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pct"/>
            <w:vAlign w:val="center"/>
          </w:tcPr>
          <w:p w14:paraId="0B742BB5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获国家/省/市或校/院级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个人荣誉称号</w:t>
            </w:r>
          </w:p>
        </w:tc>
        <w:tc>
          <w:tcPr>
            <w:tcW w:w="993" w:type="pct"/>
            <w:vAlign w:val="center"/>
          </w:tcPr>
          <w:p w14:paraId="02BD6678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10/5/2.5/1</w:t>
            </w:r>
          </w:p>
        </w:tc>
      </w:tr>
      <w:tr w14:paraId="11233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05" w:type="pct"/>
            <w:vMerge w:val="continue"/>
          </w:tcPr>
          <w:p w14:paraId="020A6CD1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64FD424C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pct"/>
            <w:vAlign w:val="center"/>
          </w:tcPr>
          <w:p w14:paraId="62E55C8A">
            <w:pPr>
              <w:pStyle w:val="16"/>
              <w:spacing w:line="276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经学院认定的运动队主要负责人（正职）、院主持人队队长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校级社团主要负责人（副职）、经学院认定的运动队主要负责人（副职）、院主持人队副队长、学生党支部其他委员、军训优秀学员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校团委、校学生会、院团委、院学生会工作人员、校级社团工作人员、经学院认定的运动队队员、院主持人队队员</w:t>
            </w:r>
          </w:p>
        </w:tc>
        <w:tc>
          <w:tcPr>
            <w:tcW w:w="993" w:type="pct"/>
            <w:vAlign w:val="center"/>
          </w:tcPr>
          <w:p w14:paraId="141BFF70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2/1/0.5</w:t>
            </w:r>
          </w:p>
        </w:tc>
      </w:tr>
      <w:tr w14:paraId="148C0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05" w:type="pct"/>
            <w:vMerge w:val="continue"/>
          </w:tcPr>
          <w:p w14:paraId="0EC239A7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4C2A767C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pct"/>
            <w:vAlign w:val="center"/>
          </w:tcPr>
          <w:p w14:paraId="14106371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各班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学委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/班委（不含班长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团支书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、学委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）加分总分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由各班协商确定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3" w:type="pct"/>
            <w:vAlign w:val="center"/>
          </w:tcPr>
          <w:p w14:paraId="53C3AB35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2/1</w:t>
            </w:r>
          </w:p>
        </w:tc>
      </w:tr>
      <w:tr w14:paraId="6D37E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05" w:type="pct"/>
            <w:vMerge w:val="continue"/>
          </w:tcPr>
          <w:p w14:paraId="5A636111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vMerge w:val="continue"/>
          </w:tcPr>
          <w:p w14:paraId="318FA317">
            <w:pPr>
              <w:pStyle w:val="16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6E7081FE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任职类需要评议会的述职评议结果予以确认才能获得加分，考核合格指任职期间认真负责，无被有效举报投诉等。校级或院级的优秀团干、优秀团支书、优秀团员、优秀学生干部、优秀党员、优秀党员干部等奖项不予以累加，只取最高奖项。②优秀学生社团主要负责人等按加总分进行分数分配，五四红旗团支部、优良学风班等集体荣誉等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每人加0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312A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05" w:type="pct"/>
            <w:vAlign w:val="center"/>
          </w:tcPr>
          <w:p w14:paraId="64740B18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国际视野</w:t>
            </w:r>
          </w:p>
        </w:tc>
        <w:tc>
          <w:tcPr>
            <w:tcW w:w="1238" w:type="pct"/>
            <w:vAlign w:val="center"/>
          </w:tcPr>
          <w:p w14:paraId="1351854F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国际荣誉或服务</w:t>
            </w:r>
          </w:p>
          <w:p w14:paraId="52DA7394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（最高分：2）</w:t>
            </w:r>
          </w:p>
        </w:tc>
        <w:tc>
          <w:tcPr>
            <w:tcW w:w="2264" w:type="pct"/>
            <w:vAlign w:val="center"/>
          </w:tcPr>
          <w:p w14:paraId="2190E922">
            <w:pPr>
              <w:pStyle w:val="16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国际志愿服务项目（含奥运会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、亚运会、全运会等同等级别大型国际赛事活动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3" w:type="pct"/>
            <w:vAlign w:val="center"/>
          </w:tcPr>
          <w:p w14:paraId="4F4C7433">
            <w:pPr>
              <w:pStyle w:val="16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1975D78E">
      <w:pPr>
        <w:pStyle w:val="5"/>
        <w:spacing w:line="360" w:lineRule="auto"/>
        <w:ind w:left="0" w:firstLine="40" w:firstLineChars="200"/>
        <w:rPr>
          <w:rFonts w:ascii="仿宋" w:hAnsi="仿宋" w:eastAsia="仿宋"/>
          <w:b/>
          <w:color w:val="000000" w:themeColor="text1"/>
          <w:sz w:val="2"/>
          <w14:textFill>
            <w14:solidFill>
              <w14:schemeClr w14:val="tx1"/>
            </w14:solidFill>
          </w14:textFill>
        </w:rPr>
      </w:pPr>
    </w:p>
    <w:p w14:paraId="67773AA8">
      <w:pPr>
        <w:pStyle w:val="4"/>
        <w:spacing w:line="360" w:lineRule="auto"/>
        <w:ind w:firstLine="610" w:firstLineChars="200"/>
        <w:rPr>
          <w:rFonts w:ascii="仿宋" w:hAnsi="仿宋" w:eastAsia="仿宋"/>
          <w:b/>
          <w:color w:val="000000" w:themeColor="text1"/>
          <w:spacing w:val="7"/>
          <w:sz w:val="29"/>
          <w14:textFill>
            <w14:solidFill>
              <w14:schemeClr w14:val="tx1"/>
            </w14:solidFill>
          </w14:textFill>
        </w:rPr>
      </w:pPr>
    </w:p>
    <w:p w14:paraId="641223CF">
      <w:pPr>
        <w:pStyle w:val="4"/>
        <w:spacing w:line="360" w:lineRule="auto"/>
        <w:ind w:firstLine="610" w:firstLineChars="200"/>
        <w:rPr>
          <w:rFonts w:ascii="仿宋" w:hAnsi="仿宋" w:eastAsia="仿宋"/>
          <w:b/>
          <w:color w:val="000000" w:themeColor="text1"/>
          <w:spacing w:val="-10"/>
          <w:sz w:val="29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7"/>
          <w:sz w:val="29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b/>
          <w:color w:val="000000" w:themeColor="text1"/>
          <w:sz w:val="29"/>
          <w14:textFill>
            <w14:solidFill>
              <w14:schemeClr w14:val="tx1"/>
            </w14:solidFill>
          </w14:textFill>
        </w:rPr>
        <w:t>指标：行动</w:t>
      </w:r>
      <w:r>
        <w:rPr>
          <w:rFonts w:hint="eastAsia" w:ascii="仿宋" w:hAnsi="仿宋" w:eastAsia="仿宋"/>
          <w:b/>
          <w:color w:val="000000" w:themeColor="text1"/>
          <w:spacing w:val="-10"/>
          <w:sz w:val="29"/>
          <w14:textFill>
            <w14:solidFill>
              <w14:schemeClr w14:val="tx1"/>
            </w14:solidFill>
          </w14:textFill>
        </w:rPr>
        <w:t>力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2432"/>
        <w:gridCol w:w="4408"/>
        <w:gridCol w:w="1950"/>
      </w:tblGrid>
      <w:tr w14:paraId="1D44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497" w:type="pct"/>
            <w:vAlign w:val="center"/>
          </w:tcPr>
          <w:p w14:paraId="26F4A1CE">
            <w:pPr>
              <w:pStyle w:val="4"/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46" w:type="pct"/>
            <w:vAlign w:val="center"/>
          </w:tcPr>
          <w:p w14:paraId="11F01B01">
            <w:pPr>
              <w:pStyle w:val="4"/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2258" w:type="pct"/>
            <w:vAlign w:val="center"/>
          </w:tcPr>
          <w:p w14:paraId="4348AD8F">
            <w:pPr>
              <w:pStyle w:val="4"/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测评点</w:t>
            </w:r>
          </w:p>
        </w:tc>
        <w:tc>
          <w:tcPr>
            <w:tcW w:w="999" w:type="pct"/>
            <w:vAlign w:val="center"/>
          </w:tcPr>
          <w:p w14:paraId="563729A1">
            <w:pPr>
              <w:pStyle w:val="4"/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4682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97" w:type="pct"/>
            <w:vMerge w:val="restart"/>
            <w:vAlign w:val="center"/>
          </w:tcPr>
          <w:p w14:paraId="3F82B93F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社会责任</w:t>
            </w:r>
          </w:p>
        </w:tc>
        <w:tc>
          <w:tcPr>
            <w:tcW w:w="1246" w:type="pct"/>
            <w:vAlign w:val="center"/>
          </w:tcPr>
          <w:p w14:paraId="09D4B144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服兵役</w:t>
            </w:r>
          </w:p>
          <w:p w14:paraId="15097D7B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最高分：20）</w:t>
            </w:r>
          </w:p>
        </w:tc>
        <w:tc>
          <w:tcPr>
            <w:tcW w:w="2258" w:type="pct"/>
            <w:vAlign w:val="center"/>
          </w:tcPr>
          <w:p w14:paraId="281F9820">
            <w:pPr>
              <w:pStyle w:val="4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本科阶段应征入伍服兵役，服役期间思想、工作等各方面表现良好，未受任何处分，圆满履行兵役义务者，计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10分，获三等功及以上计20分。</w:t>
            </w:r>
          </w:p>
        </w:tc>
        <w:tc>
          <w:tcPr>
            <w:tcW w:w="999" w:type="pct"/>
            <w:vAlign w:val="center"/>
          </w:tcPr>
          <w:p w14:paraId="5F1BBF31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20/10</w:t>
            </w:r>
          </w:p>
        </w:tc>
      </w:tr>
      <w:tr w14:paraId="190A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97" w:type="pct"/>
            <w:vMerge w:val="continue"/>
            <w:vAlign w:val="center"/>
          </w:tcPr>
          <w:p w14:paraId="05835F25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pct"/>
            <w:vAlign w:val="center"/>
          </w:tcPr>
          <w:p w14:paraId="4D1B5167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国际组织实习</w:t>
            </w:r>
          </w:p>
          <w:p w14:paraId="1BE5B2A2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最高分：5）</w:t>
            </w:r>
          </w:p>
        </w:tc>
        <w:tc>
          <w:tcPr>
            <w:tcW w:w="2258" w:type="pct"/>
            <w:vAlign w:val="center"/>
          </w:tcPr>
          <w:p w14:paraId="5602C06D">
            <w:pPr>
              <w:pStyle w:val="4"/>
              <w:wordWrap w:val="0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在本科阶段合格完成了中华人民共和国教育部、人力资源和社会保障部所认可的国际组织（以全国高等学校学生信息咨询与就业指导中心网站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https://gj.ncss.cn/gjzzjs.html发布的信息为准）实习任务（1个月及以上）</w:t>
            </w:r>
          </w:p>
        </w:tc>
        <w:tc>
          <w:tcPr>
            <w:tcW w:w="999" w:type="pct"/>
            <w:vAlign w:val="center"/>
          </w:tcPr>
          <w:p w14:paraId="429CEBB1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E66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97" w:type="pct"/>
            <w:vMerge w:val="continue"/>
            <w:vAlign w:val="center"/>
          </w:tcPr>
          <w:p w14:paraId="777D3C92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pct"/>
            <w:vMerge w:val="restart"/>
            <w:vAlign w:val="center"/>
          </w:tcPr>
          <w:p w14:paraId="1A89A779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志愿服务</w:t>
            </w:r>
          </w:p>
          <w:p w14:paraId="2DEA9F4E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（最高分：10）</w:t>
            </w:r>
          </w:p>
        </w:tc>
        <w:tc>
          <w:tcPr>
            <w:tcW w:w="2258" w:type="pct"/>
            <w:vAlign w:val="center"/>
          </w:tcPr>
          <w:p w14:paraId="1CEE3EB7">
            <w:pPr>
              <w:pStyle w:val="4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志愿服务先进荣誉-国际级或国家级/省级/校级或市级/院级表彰</w:t>
            </w:r>
          </w:p>
        </w:tc>
        <w:tc>
          <w:tcPr>
            <w:tcW w:w="999" w:type="pct"/>
            <w:vAlign w:val="center"/>
          </w:tcPr>
          <w:p w14:paraId="7AE8C1FA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10/7/5/3</w:t>
            </w:r>
          </w:p>
        </w:tc>
      </w:tr>
      <w:tr w14:paraId="7D61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97" w:type="pct"/>
            <w:vMerge w:val="continue"/>
            <w:vAlign w:val="center"/>
          </w:tcPr>
          <w:p w14:paraId="63203C3F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pct"/>
            <w:vMerge w:val="continue"/>
            <w:vAlign w:val="center"/>
          </w:tcPr>
          <w:p w14:paraId="66B419A5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pct"/>
            <w:vAlign w:val="center"/>
          </w:tcPr>
          <w:p w14:paraId="2648CA33">
            <w:pPr>
              <w:pStyle w:val="4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参加志愿服务，达到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300/200/100小时</w:t>
            </w:r>
          </w:p>
        </w:tc>
        <w:tc>
          <w:tcPr>
            <w:tcW w:w="999" w:type="pct"/>
            <w:vAlign w:val="center"/>
          </w:tcPr>
          <w:p w14:paraId="5181D8A6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3/2/1</w:t>
            </w:r>
          </w:p>
        </w:tc>
      </w:tr>
      <w:tr w14:paraId="77FC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497" w:type="pct"/>
            <w:vMerge w:val="continue"/>
          </w:tcPr>
          <w:p w14:paraId="4EAE6E58">
            <w:pPr>
              <w:pStyle w:val="4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pct"/>
            <w:vMerge w:val="continue"/>
          </w:tcPr>
          <w:p w14:paraId="14CC0D39">
            <w:pPr>
              <w:pStyle w:val="4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</w:tcPr>
          <w:p w14:paraId="478943D4">
            <w:pPr>
              <w:pStyle w:val="4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注：①优秀志愿者需要知名公益组织或官方机构组织举办，需证明机构的权威性与内容的含金量；②志愿服务加分与公益时不能同时获得（按更高分计算）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= 3 \* GB3</w:instrTex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星级志愿者是统计的累计志愿时，需要提供参评学年的具体情况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。④提供志愿时证明所盖公章需是政府机构、事业单位、非营利机构等（不含企业等）。</w:t>
            </w:r>
          </w:p>
        </w:tc>
      </w:tr>
      <w:tr w14:paraId="72C6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7" w:type="pct"/>
            <w:vMerge w:val="continue"/>
          </w:tcPr>
          <w:p w14:paraId="5855BA0D">
            <w:pPr>
              <w:pStyle w:val="4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pct"/>
            <w:vMerge w:val="restart"/>
            <w:vAlign w:val="center"/>
          </w:tcPr>
          <w:p w14:paraId="49579C65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社会实践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6BCF6EE5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（最高分：7）</w:t>
            </w:r>
          </w:p>
        </w:tc>
        <w:tc>
          <w:tcPr>
            <w:tcW w:w="2258" w:type="pct"/>
            <w:vAlign w:val="center"/>
          </w:tcPr>
          <w:p w14:paraId="6A2BB9C4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社会实践团队国家级项目</w:t>
            </w:r>
          </w:p>
          <w:p w14:paraId="0FDE2FCB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（一二三等奖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、立项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9" w:type="pct"/>
            <w:vAlign w:val="center"/>
          </w:tcPr>
          <w:p w14:paraId="59DC481A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7/5/3.5/2.5</w:t>
            </w:r>
          </w:p>
        </w:tc>
      </w:tr>
      <w:tr w14:paraId="4E19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7" w:type="pct"/>
            <w:vMerge w:val="continue"/>
          </w:tcPr>
          <w:p w14:paraId="45B6BD1E">
            <w:pPr>
              <w:pStyle w:val="4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pct"/>
            <w:vMerge w:val="continue"/>
          </w:tcPr>
          <w:p w14:paraId="0E81F800">
            <w:pPr>
              <w:pStyle w:val="4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pct"/>
            <w:vAlign w:val="center"/>
          </w:tcPr>
          <w:p w14:paraId="4A6A1458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社会实践团队省级项目</w:t>
            </w:r>
          </w:p>
          <w:p w14:paraId="2B13D225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（一二三等奖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、立项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9" w:type="pct"/>
            <w:vAlign w:val="center"/>
          </w:tcPr>
          <w:p w14:paraId="3271AD7C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5/3.5/2.5</w:t>
            </w:r>
          </w:p>
        </w:tc>
      </w:tr>
      <w:tr w14:paraId="4C8F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7" w:type="pct"/>
            <w:vMerge w:val="continue"/>
          </w:tcPr>
          <w:p w14:paraId="156935B9">
            <w:pPr>
              <w:pStyle w:val="4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pct"/>
            <w:vMerge w:val="continue"/>
          </w:tcPr>
          <w:p w14:paraId="003EB448">
            <w:pPr>
              <w:pStyle w:val="4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pct"/>
            <w:vAlign w:val="center"/>
          </w:tcPr>
          <w:p w14:paraId="2664B465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社会实践团队</w:t>
            </w: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校级或市级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096D8DF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（一二三等奖）</w:t>
            </w:r>
          </w:p>
        </w:tc>
        <w:tc>
          <w:tcPr>
            <w:tcW w:w="999" w:type="pct"/>
            <w:vAlign w:val="center"/>
          </w:tcPr>
          <w:p w14:paraId="360A84A8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3.5/2.5/1.5</w:t>
            </w:r>
          </w:p>
        </w:tc>
      </w:tr>
      <w:tr w14:paraId="034B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7" w:type="pct"/>
            <w:vMerge w:val="continue"/>
          </w:tcPr>
          <w:p w14:paraId="186D5F11">
            <w:pPr>
              <w:pStyle w:val="4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pct"/>
            <w:vMerge w:val="continue"/>
          </w:tcPr>
          <w:p w14:paraId="36E4C92C">
            <w:pPr>
              <w:pStyle w:val="4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pct"/>
            <w:vAlign w:val="center"/>
          </w:tcPr>
          <w:p w14:paraId="4DD2A843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社会实践团队院级项目</w:t>
            </w:r>
          </w:p>
          <w:p w14:paraId="02066718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（一二三等奖）</w:t>
            </w:r>
          </w:p>
        </w:tc>
        <w:tc>
          <w:tcPr>
            <w:tcW w:w="999" w:type="pct"/>
            <w:vAlign w:val="center"/>
          </w:tcPr>
          <w:p w14:paraId="4AADA97B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1.5/1/0.5</w:t>
            </w:r>
          </w:p>
        </w:tc>
      </w:tr>
      <w:tr w14:paraId="40D6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7" w:type="pct"/>
            <w:vMerge w:val="continue"/>
          </w:tcPr>
          <w:p w14:paraId="0CF4AEDB">
            <w:pPr>
              <w:pStyle w:val="4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pct"/>
            <w:vMerge w:val="continue"/>
          </w:tcPr>
          <w:p w14:paraId="21E4C0BB">
            <w:pPr>
              <w:pStyle w:val="4"/>
              <w:spacing w:line="360" w:lineRule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pct"/>
            <w:gridSpan w:val="2"/>
            <w:vAlign w:val="center"/>
          </w:tcPr>
          <w:p w14:paraId="461F7BA1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注：团队荣誉，依据总人数平均分配分值。</w:t>
            </w:r>
          </w:p>
        </w:tc>
      </w:tr>
      <w:tr w14:paraId="7071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97" w:type="pct"/>
            <w:vMerge w:val="restart"/>
            <w:vAlign w:val="center"/>
          </w:tcPr>
          <w:p w14:paraId="3B2AB9A6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劳动素养</w:t>
            </w:r>
          </w:p>
        </w:tc>
        <w:tc>
          <w:tcPr>
            <w:tcW w:w="1246" w:type="pct"/>
            <w:vMerge w:val="restart"/>
            <w:vAlign w:val="center"/>
          </w:tcPr>
          <w:p w14:paraId="7120F476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劳动活动</w:t>
            </w:r>
          </w:p>
          <w:p w14:paraId="184F46EF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（最高分：3）</w:t>
            </w:r>
          </w:p>
        </w:tc>
        <w:tc>
          <w:tcPr>
            <w:tcW w:w="2258" w:type="pct"/>
            <w:vAlign w:val="center"/>
          </w:tcPr>
          <w:p w14:paraId="3461003D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三下乡优秀个人</w:t>
            </w:r>
          </w:p>
        </w:tc>
        <w:tc>
          <w:tcPr>
            <w:tcW w:w="999" w:type="pct"/>
            <w:vAlign w:val="center"/>
          </w:tcPr>
          <w:p w14:paraId="0852ED98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CB4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97" w:type="pct"/>
            <w:vMerge w:val="continue"/>
            <w:vAlign w:val="center"/>
          </w:tcPr>
          <w:p w14:paraId="3047F695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pct"/>
            <w:vMerge w:val="continue"/>
            <w:vAlign w:val="center"/>
          </w:tcPr>
          <w:p w14:paraId="53CB805A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pct"/>
            <w:vAlign w:val="center"/>
          </w:tcPr>
          <w:p w14:paraId="4107EED0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校/院优秀文明宿舍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（每人加分）</w:t>
            </w:r>
          </w:p>
        </w:tc>
        <w:tc>
          <w:tcPr>
            <w:tcW w:w="999" w:type="pct"/>
            <w:vAlign w:val="center"/>
          </w:tcPr>
          <w:p w14:paraId="68616D8A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1/0.5</w:t>
            </w:r>
          </w:p>
        </w:tc>
      </w:tr>
      <w:tr w14:paraId="0BDD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97" w:type="pct"/>
            <w:vAlign w:val="center"/>
          </w:tcPr>
          <w:p w14:paraId="67E6256E">
            <w:pPr>
              <w:pStyle w:val="4"/>
              <w:spacing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企业家</w:t>
            </w:r>
          </w:p>
          <w:p w14:paraId="67820F65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精神</w:t>
            </w:r>
          </w:p>
        </w:tc>
        <w:tc>
          <w:tcPr>
            <w:tcW w:w="1246" w:type="pct"/>
            <w:vAlign w:val="center"/>
          </w:tcPr>
          <w:p w14:paraId="7F92DF68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企业家精神</w:t>
            </w:r>
          </w:p>
          <w:p w14:paraId="03958184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（最高分：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</w:tc>
        <w:tc>
          <w:tcPr>
            <w:tcW w:w="2258" w:type="pct"/>
            <w:vAlign w:val="center"/>
          </w:tcPr>
          <w:p w14:paraId="1996670B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为了鼓励学生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企业家精神（主动：积极主动影响环境，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敢为人先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；创新：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勇于创业创新和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不惧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“失败”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，申请人自主申报在上一学年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体现“企业家精神”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的积极探索和工作（尽管不符合上述加分标准），学院本科生资助评审工作小组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组织评审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公布最终加分结果，学生可申请查阅相关材料。</w:t>
            </w:r>
          </w:p>
        </w:tc>
        <w:tc>
          <w:tcPr>
            <w:tcW w:w="999" w:type="pct"/>
            <w:vAlign w:val="center"/>
          </w:tcPr>
          <w:p w14:paraId="39FBCC6A"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0-10</w:t>
            </w:r>
          </w:p>
        </w:tc>
      </w:tr>
    </w:tbl>
    <w:p w14:paraId="41450A03">
      <w:pPr>
        <w:widowControl/>
        <w:autoSpaceDE/>
        <w:autoSpaceDN/>
        <w:rPr>
          <w:rFonts w:ascii="仿宋" w:hAnsi="仿宋" w:eastAsia="仿宋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1E4A693E">
      <w:pPr>
        <w:adjustRightInd w:val="0"/>
        <w:snapToGrid w:val="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10" w:h="16840"/>
          <w:pgMar w:top="1440" w:right="1080" w:bottom="1440" w:left="1080" w:header="720" w:footer="720" w:gutter="0"/>
          <w:cols w:space="720" w:num="1"/>
          <w:docGrid w:linePitch="299" w:charSpace="0"/>
        </w:sectPr>
      </w:pPr>
      <w:bookmarkStart w:id="0" w:name="_Hlk179965794"/>
    </w:p>
    <w:p w14:paraId="3628CB15">
      <w:pPr>
        <w:adjustRightInd w:val="0"/>
        <w:snapToGrid w:val="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国际高水平学术会议清单</w:t>
      </w:r>
    </w:p>
    <w:bookmarkEnd w:id="0"/>
    <w:tbl>
      <w:tblPr>
        <w:tblStyle w:val="2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4815"/>
        <w:gridCol w:w="2947"/>
      </w:tblGrid>
      <w:tr w14:paraId="194B5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2" w:type="dxa"/>
          </w:tcPr>
          <w:p w14:paraId="480CF373">
            <w:pPr>
              <w:pStyle w:val="16"/>
              <w:snapToGrid w:val="0"/>
              <w:ind w:right="5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pacing w:val="-7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01" w:type="dxa"/>
          </w:tcPr>
          <w:p w14:paraId="33E46250">
            <w:pPr>
              <w:pStyle w:val="16"/>
              <w:snapToGrid w:val="0"/>
              <w:ind w:left="9" w:right="3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pacing w:val="-4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会议英文名称</w:t>
            </w:r>
          </w:p>
        </w:tc>
        <w:tc>
          <w:tcPr>
            <w:tcW w:w="2939" w:type="dxa"/>
          </w:tcPr>
          <w:p w14:paraId="5B9C613D">
            <w:pPr>
              <w:pStyle w:val="16"/>
              <w:snapToGrid w:val="0"/>
              <w:ind w:left="12" w:right="5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pacing w:val="-4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会议中文名称</w:t>
            </w:r>
          </w:p>
        </w:tc>
      </w:tr>
      <w:tr w14:paraId="58A25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2" w:type="dxa"/>
            <w:vAlign w:val="center"/>
          </w:tcPr>
          <w:p w14:paraId="7AE04A18">
            <w:pPr>
              <w:pStyle w:val="16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1" w:type="dxa"/>
            <w:vAlign w:val="center"/>
          </w:tcPr>
          <w:p w14:paraId="09876DBD">
            <w:pPr>
              <w:pStyle w:val="16"/>
              <w:snapToGrid w:val="0"/>
              <w:ind w:left="9" w:right="3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Academy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Management Annual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Meeting</w:t>
            </w:r>
          </w:p>
        </w:tc>
        <w:tc>
          <w:tcPr>
            <w:tcW w:w="2939" w:type="dxa"/>
            <w:vAlign w:val="center"/>
          </w:tcPr>
          <w:p w14:paraId="2B89983E">
            <w:pPr>
              <w:pStyle w:val="16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4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美国管理学会年会</w:t>
            </w:r>
          </w:p>
        </w:tc>
      </w:tr>
      <w:tr w14:paraId="44ABF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2" w:type="dxa"/>
            <w:vAlign w:val="center"/>
          </w:tcPr>
          <w:p w14:paraId="682E4869">
            <w:pPr>
              <w:pStyle w:val="16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1" w:type="dxa"/>
            <w:vAlign w:val="center"/>
          </w:tcPr>
          <w:p w14:paraId="529CDCA1">
            <w:pPr>
              <w:pStyle w:val="16"/>
              <w:snapToGrid w:val="0"/>
              <w:ind w:left="9" w:right="3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Academy of International Business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Annual Meeting</w:t>
            </w:r>
          </w:p>
        </w:tc>
        <w:tc>
          <w:tcPr>
            <w:tcW w:w="2939" w:type="dxa"/>
            <w:vAlign w:val="center"/>
          </w:tcPr>
          <w:p w14:paraId="66C8E953">
            <w:pPr>
              <w:pStyle w:val="16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4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4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国际商务学会年会</w:t>
            </w:r>
          </w:p>
        </w:tc>
      </w:tr>
      <w:tr w14:paraId="3F915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2" w:type="dxa"/>
            <w:vAlign w:val="center"/>
          </w:tcPr>
          <w:p w14:paraId="1349F475">
            <w:pPr>
              <w:pStyle w:val="16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1" w:type="dxa"/>
            <w:vAlign w:val="center"/>
          </w:tcPr>
          <w:p w14:paraId="1733E35B">
            <w:pPr>
              <w:pStyle w:val="16"/>
              <w:snapToGrid w:val="0"/>
              <w:ind w:left="9" w:right="3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American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5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Accounting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Association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3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Annual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Meeting</w:t>
            </w:r>
          </w:p>
        </w:tc>
        <w:tc>
          <w:tcPr>
            <w:tcW w:w="2939" w:type="dxa"/>
            <w:vAlign w:val="center"/>
          </w:tcPr>
          <w:p w14:paraId="3CA5CC09">
            <w:pPr>
              <w:pStyle w:val="16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4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美国会计学会年会</w:t>
            </w:r>
          </w:p>
        </w:tc>
      </w:tr>
      <w:tr w14:paraId="19EC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2" w:type="dxa"/>
            <w:vAlign w:val="center"/>
          </w:tcPr>
          <w:p w14:paraId="4577CCA1">
            <w:pPr>
              <w:pStyle w:val="16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01" w:type="dxa"/>
            <w:vAlign w:val="center"/>
          </w:tcPr>
          <w:p w14:paraId="1FF20339">
            <w:pPr>
              <w:pStyle w:val="16"/>
              <w:snapToGrid w:val="0"/>
              <w:ind w:left="9" w:right="3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uropean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5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Accounting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Association Annual Conference</w:t>
            </w:r>
          </w:p>
        </w:tc>
        <w:tc>
          <w:tcPr>
            <w:tcW w:w="2939" w:type="dxa"/>
            <w:vAlign w:val="center"/>
          </w:tcPr>
          <w:p w14:paraId="2272672B">
            <w:pPr>
              <w:pStyle w:val="16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欧洲会计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学会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年会</w:t>
            </w:r>
          </w:p>
        </w:tc>
      </w:tr>
      <w:tr w14:paraId="6C940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2" w:type="dxa"/>
            <w:vAlign w:val="center"/>
          </w:tcPr>
          <w:p w14:paraId="2591678A">
            <w:pPr>
              <w:pStyle w:val="16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01" w:type="dxa"/>
            <w:vAlign w:val="center"/>
          </w:tcPr>
          <w:p w14:paraId="563DCE2E">
            <w:pPr>
              <w:pStyle w:val="16"/>
              <w:snapToGrid w:val="0"/>
              <w:ind w:left="9" w:right="3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American Marketing Association Academic Conference</w:t>
            </w:r>
          </w:p>
        </w:tc>
        <w:tc>
          <w:tcPr>
            <w:tcW w:w="2939" w:type="dxa"/>
            <w:vAlign w:val="center"/>
          </w:tcPr>
          <w:p w14:paraId="1C1BABA1">
            <w:pPr>
              <w:pStyle w:val="16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美国市场营销学会年会</w:t>
            </w:r>
          </w:p>
        </w:tc>
      </w:tr>
      <w:tr w14:paraId="7220F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2" w:type="dxa"/>
            <w:vAlign w:val="center"/>
          </w:tcPr>
          <w:p w14:paraId="0712AEE9">
            <w:pPr>
              <w:pStyle w:val="16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01" w:type="dxa"/>
            <w:vAlign w:val="center"/>
          </w:tcPr>
          <w:p w14:paraId="72CCC8E1">
            <w:pPr>
              <w:pStyle w:val="16"/>
              <w:snapToGrid w:val="0"/>
              <w:ind w:left="9" w:right="3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Association for Consumer Research Conference</w:t>
            </w:r>
          </w:p>
        </w:tc>
        <w:tc>
          <w:tcPr>
            <w:tcW w:w="2939" w:type="dxa"/>
            <w:vAlign w:val="center"/>
          </w:tcPr>
          <w:p w14:paraId="35434E55">
            <w:pPr>
              <w:pStyle w:val="16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消费者研究协会年会</w:t>
            </w:r>
          </w:p>
        </w:tc>
      </w:tr>
      <w:tr w14:paraId="74AF0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2" w:type="dxa"/>
            <w:vAlign w:val="center"/>
          </w:tcPr>
          <w:p w14:paraId="74BB99CA">
            <w:pPr>
              <w:pStyle w:val="16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01" w:type="dxa"/>
            <w:vAlign w:val="center"/>
          </w:tcPr>
          <w:p w14:paraId="5C07C3CE">
            <w:pPr>
              <w:pStyle w:val="16"/>
              <w:snapToGrid w:val="0"/>
              <w:ind w:left="9" w:right="3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American Finance Association Annual Meeting</w:t>
            </w:r>
          </w:p>
        </w:tc>
        <w:tc>
          <w:tcPr>
            <w:tcW w:w="2939" w:type="dxa"/>
            <w:vAlign w:val="center"/>
          </w:tcPr>
          <w:p w14:paraId="30EFA58E">
            <w:pPr>
              <w:pStyle w:val="16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美国金融学会年会</w:t>
            </w:r>
          </w:p>
        </w:tc>
      </w:tr>
      <w:tr w14:paraId="302A9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2" w:type="dxa"/>
            <w:vAlign w:val="center"/>
          </w:tcPr>
          <w:p w14:paraId="7A62DCC7">
            <w:pPr>
              <w:pStyle w:val="16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01" w:type="dxa"/>
            <w:vAlign w:val="center"/>
          </w:tcPr>
          <w:p w14:paraId="3DBCAD43">
            <w:pPr>
              <w:pStyle w:val="16"/>
              <w:snapToGrid w:val="0"/>
              <w:ind w:left="9" w:right="3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International Conference on Computing in Economics and Finance</w:t>
            </w:r>
          </w:p>
        </w:tc>
        <w:tc>
          <w:tcPr>
            <w:tcW w:w="2939" w:type="dxa"/>
            <w:vAlign w:val="center"/>
          </w:tcPr>
          <w:p w14:paraId="0A4FBDA2">
            <w:pPr>
              <w:pStyle w:val="16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计算经济金融年会</w:t>
            </w:r>
          </w:p>
        </w:tc>
      </w:tr>
      <w:tr w14:paraId="6DCB3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2" w:type="dxa"/>
            <w:vAlign w:val="center"/>
          </w:tcPr>
          <w:p w14:paraId="6E138755">
            <w:pPr>
              <w:pStyle w:val="16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01" w:type="dxa"/>
            <w:vAlign w:val="center"/>
          </w:tcPr>
          <w:p w14:paraId="7E3BBEB6">
            <w:pPr>
              <w:pStyle w:val="16"/>
              <w:snapToGrid w:val="0"/>
              <w:ind w:left="9" w:right="3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Travel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and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Tourism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8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Research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Association Annual International Conference</w:t>
            </w:r>
          </w:p>
        </w:tc>
        <w:tc>
          <w:tcPr>
            <w:tcW w:w="2939" w:type="dxa"/>
            <w:vAlign w:val="center"/>
          </w:tcPr>
          <w:p w14:paraId="55104F9E">
            <w:pPr>
              <w:pStyle w:val="16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国际旅游研究协会年会</w:t>
            </w:r>
          </w:p>
        </w:tc>
      </w:tr>
      <w:tr w14:paraId="1BFC0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2" w:type="dxa"/>
            <w:vAlign w:val="center"/>
          </w:tcPr>
          <w:p w14:paraId="27441651">
            <w:pPr>
              <w:pStyle w:val="16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01" w:type="dxa"/>
            <w:vAlign w:val="center"/>
          </w:tcPr>
          <w:p w14:paraId="7A18FC29">
            <w:pPr>
              <w:pStyle w:val="16"/>
              <w:snapToGrid w:val="0"/>
              <w:ind w:left="9" w:right="2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INFORMS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5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MSOM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Conference</w:t>
            </w:r>
          </w:p>
        </w:tc>
        <w:tc>
          <w:tcPr>
            <w:tcW w:w="2939" w:type="dxa"/>
            <w:vAlign w:val="center"/>
          </w:tcPr>
          <w:p w14:paraId="2B8EAFD3">
            <w:pPr>
              <w:pStyle w:val="16"/>
              <w:snapToGrid w:val="0"/>
              <w:ind w:left="12" w:right="5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制造和服务运营管理学会会议</w:t>
            </w:r>
          </w:p>
        </w:tc>
      </w:tr>
      <w:tr w14:paraId="70F98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2" w:type="dxa"/>
            <w:vAlign w:val="center"/>
          </w:tcPr>
          <w:p w14:paraId="2D9CC61B">
            <w:pPr>
              <w:pStyle w:val="16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01" w:type="dxa"/>
            <w:vAlign w:val="center"/>
          </w:tcPr>
          <w:p w14:paraId="7268B96C">
            <w:pPr>
              <w:pStyle w:val="16"/>
              <w:snapToGrid w:val="0"/>
              <w:ind w:left="9" w:right="3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International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3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Conference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3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on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3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Information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2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Systems</w:t>
            </w:r>
          </w:p>
        </w:tc>
        <w:tc>
          <w:tcPr>
            <w:tcW w:w="2939" w:type="dxa"/>
            <w:vAlign w:val="center"/>
          </w:tcPr>
          <w:p w14:paraId="369E463E">
            <w:pPr>
              <w:pStyle w:val="16"/>
              <w:snapToGrid w:val="0"/>
              <w:ind w:left="12" w:right="5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国际信息系统年会</w:t>
            </w:r>
          </w:p>
        </w:tc>
      </w:tr>
      <w:tr w14:paraId="5772B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2" w:type="dxa"/>
            <w:vAlign w:val="center"/>
          </w:tcPr>
          <w:p w14:paraId="2F0F66E0">
            <w:pPr>
              <w:pStyle w:val="16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Times New Roman"/>
                <w:bCs/>
                <w:color w:val="000000" w:themeColor="text1"/>
                <w:spacing w:val="-1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1" w:type="dxa"/>
            <w:vAlign w:val="center"/>
          </w:tcPr>
          <w:p w14:paraId="7CEA7038">
            <w:pPr>
              <w:pStyle w:val="16"/>
              <w:snapToGrid w:val="0"/>
              <w:ind w:left="9" w:right="3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INFORMS Annual Meeting</w:t>
            </w:r>
          </w:p>
        </w:tc>
        <w:tc>
          <w:tcPr>
            <w:tcW w:w="2939" w:type="dxa"/>
            <w:vAlign w:val="center"/>
          </w:tcPr>
          <w:p w14:paraId="48E0142C">
            <w:pPr>
              <w:pStyle w:val="16"/>
              <w:snapToGrid w:val="0"/>
              <w:ind w:left="12" w:right="5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运筹学与管理科学研究院年会</w:t>
            </w:r>
          </w:p>
        </w:tc>
      </w:tr>
    </w:tbl>
    <w:p w14:paraId="5BCD95D9">
      <w:pPr>
        <w:pStyle w:val="4"/>
        <w:adjustRightInd w:val="0"/>
        <w:snapToGrid w:val="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302FC1">
      <w:pPr>
        <w:widowControl/>
        <w:autoSpaceDE/>
        <w:autoSpaceDN/>
        <w:adjustRightInd w:val="0"/>
        <w:snapToGrid w:val="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03F09044">
      <w:pPr>
        <w:adjustRightInd w:val="0"/>
        <w:snapToGrid w:val="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国内高水平学术会议清单</w:t>
      </w:r>
    </w:p>
    <w:tbl>
      <w:tblPr>
        <w:tblStyle w:val="2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7154"/>
      </w:tblGrid>
      <w:tr w14:paraId="107EC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704" w:type="pct"/>
          </w:tcPr>
          <w:p w14:paraId="3EDB4543">
            <w:pPr>
              <w:pStyle w:val="16"/>
              <w:adjustRightInd w:val="0"/>
              <w:snapToGrid w:val="0"/>
              <w:ind w:right="5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7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4296" w:type="pct"/>
          </w:tcPr>
          <w:p w14:paraId="7CFCFCE5">
            <w:pPr>
              <w:pStyle w:val="16"/>
              <w:adjustRightInd w:val="0"/>
              <w:snapToGrid w:val="0"/>
              <w:ind w:left="12" w:right="5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4"/>
                <w:sz w:val="28"/>
                <w:szCs w:val="28"/>
                <w:lang w:eastAsia="en-US"/>
              </w:rPr>
              <w:t>会议中文名称</w:t>
            </w:r>
          </w:p>
        </w:tc>
      </w:tr>
      <w:tr w14:paraId="173B0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04" w:type="pct"/>
            <w:vAlign w:val="center"/>
          </w:tcPr>
          <w:p w14:paraId="6B1A9ECD">
            <w:pPr>
              <w:pStyle w:val="16"/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296" w:type="pct"/>
            <w:vAlign w:val="center"/>
          </w:tcPr>
          <w:p w14:paraId="774B1A40">
            <w:pPr>
              <w:pStyle w:val="16"/>
              <w:adjustRightInd w:val="0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4"/>
                <w:sz w:val="28"/>
                <w:szCs w:val="28"/>
                <w:lang w:eastAsia="zh-CN"/>
              </w:rPr>
              <w:t>中国管理研究国际学会（IACMR）年会</w:t>
            </w:r>
          </w:p>
        </w:tc>
      </w:tr>
      <w:tr w14:paraId="0954B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04" w:type="pct"/>
            <w:vAlign w:val="center"/>
          </w:tcPr>
          <w:p w14:paraId="4F4DF43B">
            <w:pPr>
              <w:pStyle w:val="16"/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296" w:type="pct"/>
            <w:vAlign w:val="center"/>
          </w:tcPr>
          <w:p w14:paraId="7C9F60E2">
            <w:pPr>
              <w:pStyle w:val="16"/>
              <w:adjustRightInd w:val="0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4"/>
                <w:sz w:val="28"/>
                <w:szCs w:val="28"/>
                <w:lang w:eastAsia="zh-CN"/>
              </w:rPr>
              <w:t>中国管理学年会</w:t>
            </w:r>
          </w:p>
        </w:tc>
      </w:tr>
      <w:tr w14:paraId="4720E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04" w:type="pct"/>
            <w:vAlign w:val="center"/>
          </w:tcPr>
          <w:p w14:paraId="12BF4BF7">
            <w:pPr>
              <w:pStyle w:val="16"/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296" w:type="pct"/>
          </w:tcPr>
          <w:p w14:paraId="4FD20544">
            <w:pPr>
              <w:pStyle w:val="16"/>
              <w:adjustRightInd w:val="0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4"/>
                <w:sz w:val="28"/>
                <w:szCs w:val="28"/>
                <w:lang w:eastAsia="zh-CN"/>
              </w:rPr>
              <w:t>中国会计学会学术年会</w:t>
            </w:r>
          </w:p>
        </w:tc>
      </w:tr>
      <w:tr w14:paraId="5236B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04" w:type="pct"/>
            <w:vAlign w:val="center"/>
          </w:tcPr>
          <w:p w14:paraId="54482182">
            <w:pPr>
              <w:pStyle w:val="16"/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296" w:type="pct"/>
          </w:tcPr>
          <w:p w14:paraId="6E3A6B64">
            <w:pPr>
              <w:pStyle w:val="16"/>
              <w:adjustRightInd w:val="0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4"/>
                <w:sz w:val="28"/>
                <w:szCs w:val="28"/>
                <w:lang w:eastAsia="zh-CN"/>
              </w:rPr>
              <w:t>中国会计学会审计专业委员会学术年会</w:t>
            </w:r>
          </w:p>
        </w:tc>
      </w:tr>
      <w:tr w14:paraId="37F28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04" w:type="pct"/>
            <w:vAlign w:val="center"/>
          </w:tcPr>
          <w:p w14:paraId="18DC5845">
            <w:pPr>
              <w:pStyle w:val="16"/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296" w:type="pct"/>
            <w:vAlign w:val="center"/>
          </w:tcPr>
          <w:p w14:paraId="58330277">
            <w:pPr>
              <w:pStyle w:val="16"/>
              <w:adjustRightInd w:val="0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4"/>
                <w:sz w:val="28"/>
                <w:szCs w:val="28"/>
                <w:lang w:eastAsia="zh-CN"/>
              </w:rPr>
              <w:t>营销科学学报年会</w:t>
            </w:r>
          </w:p>
        </w:tc>
      </w:tr>
      <w:tr w14:paraId="403E7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04" w:type="pct"/>
            <w:vAlign w:val="center"/>
          </w:tcPr>
          <w:p w14:paraId="6D30C11E">
            <w:pPr>
              <w:pStyle w:val="16"/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296" w:type="pct"/>
            <w:vAlign w:val="center"/>
          </w:tcPr>
          <w:p w14:paraId="026D901E">
            <w:pPr>
              <w:pStyle w:val="16"/>
              <w:adjustRightInd w:val="0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2"/>
                <w:sz w:val="28"/>
                <w:szCs w:val="28"/>
                <w:lang w:eastAsia="zh-CN"/>
              </w:rPr>
              <w:t>中国高校市场学会年会</w:t>
            </w:r>
          </w:p>
        </w:tc>
      </w:tr>
      <w:tr w14:paraId="18176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04" w:type="pct"/>
            <w:vAlign w:val="center"/>
          </w:tcPr>
          <w:p w14:paraId="378A00A8">
            <w:pPr>
              <w:pStyle w:val="16"/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296" w:type="pct"/>
            <w:vAlign w:val="center"/>
          </w:tcPr>
          <w:p w14:paraId="4447F88F">
            <w:pPr>
              <w:pStyle w:val="16"/>
              <w:adjustRightInd w:val="0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2"/>
                <w:sz w:val="28"/>
                <w:szCs w:val="28"/>
                <w:lang w:eastAsia="zh-CN"/>
              </w:rPr>
              <w:t>中国国际金融年会</w:t>
            </w:r>
          </w:p>
        </w:tc>
      </w:tr>
      <w:tr w14:paraId="1B44F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04" w:type="pct"/>
            <w:vAlign w:val="center"/>
          </w:tcPr>
          <w:p w14:paraId="544C93D9">
            <w:pPr>
              <w:pStyle w:val="16"/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296" w:type="pct"/>
            <w:vAlign w:val="center"/>
          </w:tcPr>
          <w:p w14:paraId="18D0BF3B">
            <w:pPr>
              <w:pStyle w:val="16"/>
              <w:adjustRightInd w:val="0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2"/>
                <w:sz w:val="28"/>
                <w:szCs w:val="28"/>
                <w:lang w:eastAsia="zh-CN"/>
              </w:rPr>
              <w:t>中国金融学年会</w:t>
            </w:r>
          </w:p>
        </w:tc>
      </w:tr>
      <w:tr w14:paraId="53C58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04" w:type="pct"/>
            <w:vAlign w:val="center"/>
          </w:tcPr>
          <w:p w14:paraId="3F5C2A53">
            <w:pPr>
              <w:pStyle w:val="16"/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296" w:type="pct"/>
            <w:vAlign w:val="center"/>
          </w:tcPr>
          <w:p w14:paraId="4DD08685">
            <w:pPr>
              <w:pStyle w:val="16"/>
              <w:adjustRightInd w:val="0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1"/>
                <w:sz w:val="28"/>
                <w:szCs w:val="28"/>
                <w:lang w:eastAsia="zh-CN"/>
              </w:rPr>
              <w:t>《旅游学刊》中国旅游研究年会</w:t>
            </w:r>
          </w:p>
        </w:tc>
      </w:tr>
      <w:tr w14:paraId="7ACC6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04" w:type="pct"/>
            <w:vAlign w:val="center"/>
          </w:tcPr>
          <w:p w14:paraId="5C5ACB49">
            <w:pPr>
              <w:pStyle w:val="16"/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296" w:type="pct"/>
            <w:vAlign w:val="center"/>
          </w:tcPr>
          <w:p w14:paraId="223588C3">
            <w:pPr>
              <w:pStyle w:val="16"/>
              <w:adjustRightInd w:val="0"/>
              <w:snapToGrid w:val="0"/>
              <w:ind w:left="12"/>
              <w:jc w:val="center"/>
              <w:rPr>
                <w:rFonts w:ascii="仿宋" w:hAnsi="仿宋" w:eastAsia="仿宋" w:cs="Times New Roman"/>
                <w:bCs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1"/>
                <w:sz w:val="28"/>
                <w:szCs w:val="28"/>
                <w:lang w:eastAsia="zh-CN"/>
              </w:rPr>
              <w:t>中国旅游教育合作联盟旅游研究前沿年度论坛</w:t>
            </w:r>
          </w:p>
        </w:tc>
      </w:tr>
      <w:tr w14:paraId="5CC99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04" w:type="pct"/>
            <w:vAlign w:val="center"/>
          </w:tcPr>
          <w:p w14:paraId="0DB702FC">
            <w:pPr>
              <w:pStyle w:val="16"/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296" w:type="pct"/>
            <w:vAlign w:val="center"/>
          </w:tcPr>
          <w:p w14:paraId="40FA48DA">
            <w:pPr>
              <w:pStyle w:val="16"/>
              <w:adjustRightInd w:val="0"/>
              <w:snapToGrid w:val="0"/>
              <w:ind w:left="12" w:right="5"/>
              <w:jc w:val="center"/>
              <w:rPr>
                <w:rFonts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管理科学与工程学会年会</w:t>
            </w:r>
          </w:p>
        </w:tc>
      </w:tr>
      <w:tr w14:paraId="45DB4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04" w:type="pct"/>
            <w:vAlign w:val="center"/>
          </w:tcPr>
          <w:p w14:paraId="3D6801D1">
            <w:pPr>
              <w:pStyle w:val="16"/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pacing w:val="-1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296" w:type="pct"/>
            <w:vAlign w:val="center"/>
          </w:tcPr>
          <w:p w14:paraId="5A1A8132">
            <w:pPr>
              <w:pStyle w:val="16"/>
              <w:adjustRightInd w:val="0"/>
              <w:snapToGrid w:val="0"/>
              <w:ind w:left="12" w:right="5"/>
              <w:jc w:val="center"/>
              <w:rPr>
                <w:rFonts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华人学者管理科学与工程国际年会</w:t>
            </w:r>
          </w:p>
        </w:tc>
      </w:tr>
    </w:tbl>
    <w:p w14:paraId="64C0CDC0">
      <w:pPr>
        <w:pStyle w:val="4"/>
        <w:adjustRightInd w:val="0"/>
        <w:snapToGrid w:val="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10" w:h="16840"/>
      <w:pgMar w:top="1440" w:right="1797" w:bottom="1440" w:left="179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47350805"/>
      <w:docPartObj>
        <w:docPartGallery w:val="AutoText"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728636285"/>
          <w:docPartObj>
            <w:docPartGallery w:val="AutoText"/>
          </w:docPartObj>
        </w:sdtPr>
        <w:sdtEndPr>
          <w:rPr>
            <w:sz w:val="24"/>
            <w:szCs w:val="24"/>
          </w:rPr>
        </w:sdtEndPr>
        <w:sdtContent>
          <w:p w14:paraId="54822F2B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CD0A38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752352"/>
      <w:placeholder>
        <w:docPart w:val="375DD7CE1DF0465CB11B7A4955B614F7"/>
      </w:placeholder>
      <w:temporary/>
      <w:showingPlcHdr/>
      <w15:appearance w15:val="hidden"/>
    </w:sdtPr>
    <w:sdtContent>
      <w:p w14:paraId="09AF86D2">
        <w:pPr>
          <w:pStyle w:val="8"/>
        </w:pPr>
        <w:r>
          <w:rPr>
            <w:lang w:val="zh-CN"/>
          </w:rPr>
          <w:t>[在此处键入]</w:t>
        </w:r>
      </w:p>
    </w:sdtContent>
  </w:sdt>
  <w:p w14:paraId="4CF16D92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hZjhlYzA3ZDFlODFjMDlhNzQzYmZkZGExMTdmNTYifQ=="/>
  </w:docVars>
  <w:rsids>
    <w:rsidRoot w:val="009D60BE"/>
    <w:rsid w:val="0002491E"/>
    <w:rsid w:val="00036F67"/>
    <w:rsid w:val="00050D04"/>
    <w:rsid w:val="000833D0"/>
    <w:rsid w:val="000850D9"/>
    <w:rsid w:val="000A48AE"/>
    <w:rsid w:val="000C3E32"/>
    <w:rsid w:val="000C6112"/>
    <w:rsid w:val="000D43D0"/>
    <w:rsid w:val="000D5000"/>
    <w:rsid w:val="000E6A6E"/>
    <w:rsid w:val="000F1D3B"/>
    <w:rsid w:val="001036DF"/>
    <w:rsid w:val="00112F38"/>
    <w:rsid w:val="00115555"/>
    <w:rsid w:val="001160C5"/>
    <w:rsid w:val="001235F5"/>
    <w:rsid w:val="00155D52"/>
    <w:rsid w:val="00162533"/>
    <w:rsid w:val="001704E7"/>
    <w:rsid w:val="00176675"/>
    <w:rsid w:val="00183D37"/>
    <w:rsid w:val="001E1482"/>
    <w:rsid w:val="001E198D"/>
    <w:rsid w:val="001E27DC"/>
    <w:rsid w:val="001E2AC1"/>
    <w:rsid w:val="001E3B7E"/>
    <w:rsid w:val="001F5BA4"/>
    <w:rsid w:val="001F69A4"/>
    <w:rsid w:val="00234E2A"/>
    <w:rsid w:val="00236DE0"/>
    <w:rsid w:val="002509F8"/>
    <w:rsid w:val="00251519"/>
    <w:rsid w:val="00261B1A"/>
    <w:rsid w:val="00266593"/>
    <w:rsid w:val="002753A8"/>
    <w:rsid w:val="00291AA3"/>
    <w:rsid w:val="002A4BA4"/>
    <w:rsid w:val="002B2DD8"/>
    <w:rsid w:val="002B749E"/>
    <w:rsid w:val="002C4FA3"/>
    <w:rsid w:val="002C65FE"/>
    <w:rsid w:val="002E2367"/>
    <w:rsid w:val="002E7B50"/>
    <w:rsid w:val="002E7B58"/>
    <w:rsid w:val="002F00FC"/>
    <w:rsid w:val="002F28EF"/>
    <w:rsid w:val="002F73F1"/>
    <w:rsid w:val="00301A74"/>
    <w:rsid w:val="003065BB"/>
    <w:rsid w:val="003172AB"/>
    <w:rsid w:val="00321F1B"/>
    <w:rsid w:val="00322063"/>
    <w:rsid w:val="003275F3"/>
    <w:rsid w:val="00336480"/>
    <w:rsid w:val="003364AA"/>
    <w:rsid w:val="003370E8"/>
    <w:rsid w:val="00340C0F"/>
    <w:rsid w:val="00347146"/>
    <w:rsid w:val="0035093F"/>
    <w:rsid w:val="00352C60"/>
    <w:rsid w:val="00360347"/>
    <w:rsid w:val="003667D1"/>
    <w:rsid w:val="003867E3"/>
    <w:rsid w:val="003A414A"/>
    <w:rsid w:val="003B2FE5"/>
    <w:rsid w:val="003B53D6"/>
    <w:rsid w:val="003B69B1"/>
    <w:rsid w:val="003B6FD7"/>
    <w:rsid w:val="003B7478"/>
    <w:rsid w:val="003D1940"/>
    <w:rsid w:val="003D3859"/>
    <w:rsid w:val="003D4CFE"/>
    <w:rsid w:val="003F7EE1"/>
    <w:rsid w:val="00401DA5"/>
    <w:rsid w:val="00410AB0"/>
    <w:rsid w:val="004139C4"/>
    <w:rsid w:val="00442A6E"/>
    <w:rsid w:val="00455B45"/>
    <w:rsid w:val="00466A13"/>
    <w:rsid w:val="00473DA7"/>
    <w:rsid w:val="00477C12"/>
    <w:rsid w:val="0049011F"/>
    <w:rsid w:val="00491DB8"/>
    <w:rsid w:val="00494840"/>
    <w:rsid w:val="004D2372"/>
    <w:rsid w:val="004D4D1B"/>
    <w:rsid w:val="004D7071"/>
    <w:rsid w:val="005111D8"/>
    <w:rsid w:val="005153FF"/>
    <w:rsid w:val="005228D9"/>
    <w:rsid w:val="00526A56"/>
    <w:rsid w:val="00527563"/>
    <w:rsid w:val="00535B05"/>
    <w:rsid w:val="0054188C"/>
    <w:rsid w:val="005765B3"/>
    <w:rsid w:val="0057685B"/>
    <w:rsid w:val="00585057"/>
    <w:rsid w:val="005973AC"/>
    <w:rsid w:val="005B54B0"/>
    <w:rsid w:val="005B54E3"/>
    <w:rsid w:val="005C39E8"/>
    <w:rsid w:val="005C7B58"/>
    <w:rsid w:val="005E27B0"/>
    <w:rsid w:val="005F7975"/>
    <w:rsid w:val="006044BB"/>
    <w:rsid w:val="00612101"/>
    <w:rsid w:val="0061263C"/>
    <w:rsid w:val="0062104F"/>
    <w:rsid w:val="00632F1B"/>
    <w:rsid w:val="0063368F"/>
    <w:rsid w:val="00636D30"/>
    <w:rsid w:val="00652E48"/>
    <w:rsid w:val="00654EE1"/>
    <w:rsid w:val="00661A15"/>
    <w:rsid w:val="006634D4"/>
    <w:rsid w:val="00667326"/>
    <w:rsid w:val="00685D49"/>
    <w:rsid w:val="006865BB"/>
    <w:rsid w:val="00697B5C"/>
    <w:rsid w:val="006B5A80"/>
    <w:rsid w:val="006C22A5"/>
    <w:rsid w:val="006D08E7"/>
    <w:rsid w:val="006E029E"/>
    <w:rsid w:val="006E0B4F"/>
    <w:rsid w:val="006F6B2B"/>
    <w:rsid w:val="00711EEA"/>
    <w:rsid w:val="00721145"/>
    <w:rsid w:val="00735AAA"/>
    <w:rsid w:val="00753003"/>
    <w:rsid w:val="00770E4A"/>
    <w:rsid w:val="00774113"/>
    <w:rsid w:val="007771BE"/>
    <w:rsid w:val="00780007"/>
    <w:rsid w:val="007843B5"/>
    <w:rsid w:val="00787FC5"/>
    <w:rsid w:val="00791349"/>
    <w:rsid w:val="00792396"/>
    <w:rsid w:val="007959DB"/>
    <w:rsid w:val="0079673D"/>
    <w:rsid w:val="007B1F52"/>
    <w:rsid w:val="007B480B"/>
    <w:rsid w:val="007B7E1E"/>
    <w:rsid w:val="007C5239"/>
    <w:rsid w:val="007C5F49"/>
    <w:rsid w:val="007D220A"/>
    <w:rsid w:val="007D73D3"/>
    <w:rsid w:val="007F0A46"/>
    <w:rsid w:val="008053DC"/>
    <w:rsid w:val="00821C50"/>
    <w:rsid w:val="00830B9F"/>
    <w:rsid w:val="00835E3C"/>
    <w:rsid w:val="00836A1C"/>
    <w:rsid w:val="0084050E"/>
    <w:rsid w:val="00843808"/>
    <w:rsid w:val="00852CE5"/>
    <w:rsid w:val="00867BD8"/>
    <w:rsid w:val="00874A0A"/>
    <w:rsid w:val="008962D7"/>
    <w:rsid w:val="008A7B12"/>
    <w:rsid w:val="008B0078"/>
    <w:rsid w:val="008C2D8E"/>
    <w:rsid w:val="008D0B31"/>
    <w:rsid w:val="008D3678"/>
    <w:rsid w:val="008D7F1F"/>
    <w:rsid w:val="008E2491"/>
    <w:rsid w:val="008E34C5"/>
    <w:rsid w:val="008E5D6D"/>
    <w:rsid w:val="008F1CC8"/>
    <w:rsid w:val="008F2E9D"/>
    <w:rsid w:val="008F40B8"/>
    <w:rsid w:val="00902E32"/>
    <w:rsid w:val="00914AAF"/>
    <w:rsid w:val="00917119"/>
    <w:rsid w:val="009175D0"/>
    <w:rsid w:val="00933B22"/>
    <w:rsid w:val="00946971"/>
    <w:rsid w:val="00952792"/>
    <w:rsid w:val="00955B75"/>
    <w:rsid w:val="009712AB"/>
    <w:rsid w:val="009715F0"/>
    <w:rsid w:val="00971E1F"/>
    <w:rsid w:val="009772E3"/>
    <w:rsid w:val="00982A20"/>
    <w:rsid w:val="009862A9"/>
    <w:rsid w:val="0099185F"/>
    <w:rsid w:val="00992A85"/>
    <w:rsid w:val="009A3BE7"/>
    <w:rsid w:val="009B5062"/>
    <w:rsid w:val="009D60BE"/>
    <w:rsid w:val="009E36F3"/>
    <w:rsid w:val="009F2610"/>
    <w:rsid w:val="009F6061"/>
    <w:rsid w:val="00A10EB1"/>
    <w:rsid w:val="00A16DBB"/>
    <w:rsid w:val="00A31598"/>
    <w:rsid w:val="00A43D37"/>
    <w:rsid w:val="00A65376"/>
    <w:rsid w:val="00A7687D"/>
    <w:rsid w:val="00A86372"/>
    <w:rsid w:val="00AB048B"/>
    <w:rsid w:val="00AB25F5"/>
    <w:rsid w:val="00AC0DFA"/>
    <w:rsid w:val="00AC1098"/>
    <w:rsid w:val="00AD5171"/>
    <w:rsid w:val="00AE20ED"/>
    <w:rsid w:val="00AF3DEC"/>
    <w:rsid w:val="00AF5A4B"/>
    <w:rsid w:val="00B009FD"/>
    <w:rsid w:val="00B06932"/>
    <w:rsid w:val="00B07CAC"/>
    <w:rsid w:val="00B16938"/>
    <w:rsid w:val="00B2404F"/>
    <w:rsid w:val="00B370F5"/>
    <w:rsid w:val="00B42C36"/>
    <w:rsid w:val="00B50A59"/>
    <w:rsid w:val="00B5435E"/>
    <w:rsid w:val="00B66843"/>
    <w:rsid w:val="00B70DBD"/>
    <w:rsid w:val="00B75B8F"/>
    <w:rsid w:val="00B75FA7"/>
    <w:rsid w:val="00B90DE0"/>
    <w:rsid w:val="00B9301F"/>
    <w:rsid w:val="00BA2101"/>
    <w:rsid w:val="00BA25EE"/>
    <w:rsid w:val="00BA3B39"/>
    <w:rsid w:val="00BC34F6"/>
    <w:rsid w:val="00BC4BF8"/>
    <w:rsid w:val="00BD7B82"/>
    <w:rsid w:val="00BE3C75"/>
    <w:rsid w:val="00BE4489"/>
    <w:rsid w:val="00BF2913"/>
    <w:rsid w:val="00BF3002"/>
    <w:rsid w:val="00BF7F52"/>
    <w:rsid w:val="00C00FC1"/>
    <w:rsid w:val="00C040D8"/>
    <w:rsid w:val="00C13877"/>
    <w:rsid w:val="00C24345"/>
    <w:rsid w:val="00C30A9B"/>
    <w:rsid w:val="00C35EA8"/>
    <w:rsid w:val="00C4006B"/>
    <w:rsid w:val="00C40BED"/>
    <w:rsid w:val="00C451CC"/>
    <w:rsid w:val="00C45EEE"/>
    <w:rsid w:val="00C531DE"/>
    <w:rsid w:val="00C910EA"/>
    <w:rsid w:val="00C91121"/>
    <w:rsid w:val="00CB6279"/>
    <w:rsid w:val="00CD025B"/>
    <w:rsid w:val="00CE575D"/>
    <w:rsid w:val="00CF10AA"/>
    <w:rsid w:val="00CF1CA2"/>
    <w:rsid w:val="00CF409C"/>
    <w:rsid w:val="00D01BA6"/>
    <w:rsid w:val="00D1116E"/>
    <w:rsid w:val="00D13A65"/>
    <w:rsid w:val="00D21FD3"/>
    <w:rsid w:val="00D36189"/>
    <w:rsid w:val="00D650A7"/>
    <w:rsid w:val="00D75A95"/>
    <w:rsid w:val="00D95CE7"/>
    <w:rsid w:val="00D9616E"/>
    <w:rsid w:val="00D962EE"/>
    <w:rsid w:val="00DA10A0"/>
    <w:rsid w:val="00DA5FAF"/>
    <w:rsid w:val="00DB0C1C"/>
    <w:rsid w:val="00DB3540"/>
    <w:rsid w:val="00DC4548"/>
    <w:rsid w:val="00DD24A9"/>
    <w:rsid w:val="00DD4459"/>
    <w:rsid w:val="00DD7AFB"/>
    <w:rsid w:val="00DE6522"/>
    <w:rsid w:val="00DF067E"/>
    <w:rsid w:val="00DF4C90"/>
    <w:rsid w:val="00E0049E"/>
    <w:rsid w:val="00E02E3E"/>
    <w:rsid w:val="00E0398E"/>
    <w:rsid w:val="00E07AA0"/>
    <w:rsid w:val="00E219BE"/>
    <w:rsid w:val="00E244EC"/>
    <w:rsid w:val="00E2522D"/>
    <w:rsid w:val="00E25E2B"/>
    <w:rsid w:val="00E55D7F"/>
    <w:rsid w:val="00E71898"/>
    <w:rsid w:val="00E71D9E"/>
    <w:rsid w:val="00E77A42"/>
    <w:rsid w:val="00E8347A"/>
    <w:rsid w:val="00E85A02"/>
    <w:rsid w:val="00EA5FDD"/>
    <w:rsid w:val="00EE2486"/>
    <w:rsid w:val="00EE4117"/>
    <w:rsid w:val="00EF5A64"/>
    <w:rsid w:val="00F00877"/>
    <w:rsid w:val="00F07C1B"/>
    <w:rsid w:val="00F22E5B"/>
    <w:rsid w:val="00F264B4"/>
    <w:rsid w:val="00F270FB"/>
    <w:rsid w:val="00F361FD"/>
    <w:rsid w:val="00F44CF3"/>
    <w:rsid w:val="00F536B0"/>
    <w:rsid w:val="00F542B4"/>
    <w:rsid w:val="00F65628"/>
    <w:rsid w:val="00F67B44"/>
    <w:rsid w:val="00F71B74"/>
    <w:rsid w:val="00F772DC"/>
    <w:rsid w:val="00F80E03"/>
    <w:rsid w:val="00FA7F31"/>
    <w:rsid w:val="00FB09F1"/>
    <w:rsid w:val="00FB471B"/>
    <w:rsid w:val="00FD71E1"/>
    <w:rsid w:val="00FE1EB8"/>
    <w:rsid w:val="00FE41B9"/>
    <w:rsid w:val="0B9F29BF"/>
    <w:rsid w:val="28E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ind w:left="2370" w:right="1974"/>
      <w:jc w:val="center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paragraph" w:styleId="3">
    <w:name w:val="heading 2"/>
    <w:next w:val="1"/>
    <w:unhideWhenUsed/>
    <w:qFormat/>
    <w:uiPriority w:val="9"/>
    <w:pPr>
      <w:widowControl w:val="0"/>
      <w:autoSpaceDE w:val="0"/>
      <w:autoSpaceDN w:val="0"/>
      <w:spacing w:before="120" w:beforeLines="50" w:after="120" w:afterLines="50" w:line="360" w:lineRule="auto"/>
      <w:jc w:val="center"/>
      <w:outlineLvl w:val="1"/>
    </w:pPr>
    <w:rPr>
      <w:rFonts w:ascii="黑体" w:hAnsi="黑体" w:eastAsia="黑体" w:cs="Microsoft JhengHei"/>
      <w:spacing w:val="10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uiPriority w:val="99"/>
  </w:style>
  <w:style w:type="paragraph" w:styleId="5">
    <w:name w:val="Body Text"/>
    <w:basedOn w:val="1"/>
    <w:link w:val="23"/>
    <w:qFormat/>
    <w:uiPriority w:val="1"/>
    <w:pPr>
      <w:ind w:left="310"/>
    </w:pPr>
    <w:rPr>
      <w:sz w:val="29"/>
      <w:szCs w:val="29"/>
    </w:r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qFormat/>
    <w:uiPriority w:val="10"/>
    <w:pPr>
      <w:spacing w:before="21"/>
      <w:ind w:left="1960" w:right="923" w:hanging="1266"/>
    </w:pPr>
    <w:rPr>
      <w:sz w:val="45"/>
      <w:szCs w:val="45"/>
    </w:rPr>
  </w:style>
  <w:style w:type="paragraph" w:styleId="10">
    <w:name w:val="annotation subject"/>
    <w:basedOn w:val="4"/>
    <w:next w:val="4"/>
    <w:link w:val="18"/>
    <w:semiHidden/>
    <w:unhideWhenUsed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table" w:customStyle="1" w:styleId="14">
    <w:name w:val="Table Normal_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批注文字 字符"/>
    <w:basedOn w:val="12"/>
    <w:link w:val="4"/>
    <w:uiPriority w:val="99"/>
    <w:rPr>
      <w:rFonts w:ascii="宋体" w:hAnsi="宋体" w:eastAsia="宋体" w:cs="宋体"/>
      <w:lang w:eastAsia="zh-CN"/>
    </w:rPr>
  </w:style>
  <w:style w:type="character" w:customStyle="1" w:styleId="18">
    <w:name w:val="批注主题 字符"/>
    <w:basedOn w:val="17"/>
    <w:link w:val="10"/>
    <w:semiHidden/>
    <w:uiPriority w:val="99"/>
    <w:rPr>
      <w:rFonts w:ascii="宋体" w:hAnsi="宋体" w:eastAsia="宋体" w:cs="宋体"/>
      <w:b/>
      <w:bCs/>
      <w:lang w:eastAsia="zh-CN"/>
    </w:rPr>
  </w:style>
  <w:style w:type="character" w:customStyle="1" w:styleId="19">
    <w:name w:val="页眉 字符"/>
    <w:basedOn w:val="12"/>
    <w:link w:val="8"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0">
    <w:name w:val="页脚 字符"/>
    <w:basedOn w:val="12"/>
    <w:link w:val="7"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1">
    <w:name w:val="批注框文本 字符"/>
    <w:basedOn w:val="12"/>
    <w:link w:val="6"/>
    <w:semiHidden/>
    <w:uiPriority w:val="99"/>
    <w:rPr>
      <w:rFonts w:ascii="宋体" w:hAnsi="宋体" w:eastAsia="宋体" w:cs="宋体"/>
      <w:sz w:val="18"/>
      <w:szCs w:val="18"/>
    </w:rPr>
  </w:style>
  <w:style w:type="paragraph" w:customStyle="1" w:styleId="22">
    <w:name w:val="Revision"/>
    <w:hidden/>
    <w:semiHidden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23">
    <w:name w:val="正文文本 字符"/>
    <w:basedOn w:val="12"/>
    <w:link w:val="5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24">
    <w:name w:val="Table Normal_1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5DD7CE1DF0465CB11B7A4955B614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ECB481-C533-47C7-9D5E-1BF6A13C261A}"/>
      </w:docPartPr>
      <w:docPartBody>
        <w:p w14:paraId="2FA8545E">
          <w:pPr>
            <w:pStyle w:val="4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01"/>
    <w:rsid w:val="00024B2E"/>
    <w:rsid w:val="002758EA"/>
    <w:rsid w:val="003852E5"/>
    <w:rsid w:val="00AB54C2"/>
    <w:rsid w:val="00B3361B"/>
    <w:rsid w:val="00B53EE4"/>
    <w:rsid w:val="00BA2101"/>
    <w:rsid w:val="00C5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75DD7CE1DF0465CB11B7A4955B614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A9FA4-CA69-4429-8452-2F4957C2EC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2294</Words>
  <Characters>2332</Characters>
  <Lines>63</Lines>
  <Paragraphs>17</Paragraphs>
  <TotalTime>2</TotalTime>
  <ScaleCrop>false</ScaleCrop>
  <LinksUpToDate>false</LinksUpToDate>
  <CharactersWithSpaces>2382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2025-03-17T02:21:00Z</dcterms:created>
  <dc:creator>Administrator</dc:creator>
  <cp:lastModifiedBy>CJH</cp:lastModifiedBy>
  <dcterms:modified xsi:type="dcterms:W3CDTF">2025-07-31T01:53:39Z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ICV">
    <vt:lpwstr>8F3C862AA7BF40E9817D9DC2CFEC6525_12</vt:lpwstr>
  </property>
  <property fmtid="{D5CDD505-2E9C-101B-9397-08002B2CF9AE}" pid="5" name="KSOProductBuildVer">
    <vt:lpwstr>2052-12.1.0.21171</vt:lpwstr>
  </property>
  <property fmtid="{D5CDD505-2E9C-101B-9397-08002B2CF9AE}" pid="6" name="LastSaved">
    <vt:filetime>2024-02-27T00:00:00Z</vt:filetime>
  </property>
  <property fmtid="{D5CDD505-2E9C-101B-9397-08002B2CF9AE}" pid="7" name="Producer">
    <vt:lpwstr>Microsoft® Word 2016</vt:lpwstr>
  </property>
  <property fmtid="{D5CDD505-2E9C-101B-9397-08002B2CF9AE}" pid="8" name="KSOTemplateDocerSaveRecord">
    <vt:lpwstr>eyJoZGlkIjoiYjA3NzNiYmEwMGJhY2YyNTU5NmQyY2IxZWVkMjgzMGEiLCJ1c2VySWQiOiIxNTU3Mjg0ODcyIn0=</vt:lpwstr>
  </property>
</Properties>
</file>