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633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5"/>
          <w:rFonts w:hint="eastAsia" w:ascii="宋体" w:hAnsi="宋体" w:eastAsia="宋体" w:cs="宋体"/>
          <w:b/>
          <w:bCs w:val="0"/>
          <w:sz w:val="24"/>
          <w:szCs w:val="24"/>
        </w:rPr>
      </w:pPr>
      <w:r>
        <w:rPr>
          <w:rStyle w:val="5"/>
          <w:rFonts w:hint="eastAsia" w:ascii="宋体" w:hAnsi="宋体" w:eastAsia="宋体" w:cs="宋体"/>
          <w:b/>
          <w:bCs w:val="0"/>
          <w:sz w:val="24"/>
          <w:szCs w:val="24"/>
        </w:rPr>
        <w:t>常见问题</w:t>
      </w:r>
    </w:p>
    <w:p w14:paraId="4A771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sz w:val="21"/>
          <w:szCs w:val="21"/>
          <w:lang w:val="en-US" w:eastAsia="zh-CN"/>
        </w:rPr>
      </w:pPr>
    </w:p>
    <w:p w14:paraId="7E568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lang w:val="en-US" w:eastAsia="zh-CN"/>
        </w:rPr>
      </w:pPr>
      <w:r>
        <w:rPr>
          <w:rStyle w:val="5"/>
          <w:rFonts w:hint="eastAsia" w:ascii="宋体" w:hAnsi="宋体" w:eastAsia="宋体" w:cs="宋体"/>
          <w:sz w:val="21"/>
          <w:szCs w:val="21"/>
        </w:rPr>
        <w:t>Q</w:t>
      </w:r>
      <w:r>
        <w:rPr>
          <w:rStyle w:val="5"/>
          <w:rFonts w:hint="eastAsia" w:ascii="宋体" w:hAnsi="宋体" w:eastAsia="宋体" w:cs="宋体"/>
          <w:sz w:val="21"/>
          <w:szCs w:val="21"/>
          <w:lang w:val="en-US" w:eastAsia="zh-CN"/>
        </w:rPr>
        <w:t>1</w:t>
      </w:r>
    </w:p>
    <w:p w14:paraId="62A8EB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Style w:val="5"/>
          <w:rFonts w:hint="eastAsia" w:ascii="宋体" w:hAnsi="宋体" w:eastAsia="宋体" w:cs="宋体"/>
          <w:sz w:val="21"/>
          <w:szCs w:val="21"/>
        </w:rPr>
        <w:t>申请</w:t>
      </w:r>
      <w:r>
        <w:rPr>
          <w:rStyle w:val="5"/>
          <w:rFonts w:hint="eastAsia" w:ascii="宋体" w:hAnsi="宋体" w:eastAsia="宋体" w:cs="宋体"/>
          <w:sz w:val="21"/>
          <w:szCs w:val="21"/>
          <w:lang w:val="en-US" w:eastAsia="zh-CN"/>
        </w:rPr>
        <w:t>夏令营</w:t>
      </w:r>
      <w:r>
        <w:rPr>
          <w:rStyle w:val="5"/>
          <w:rFonts w:hint="eastAsia" w:ascii="宋体" w:hAnsi="宋体" w:eastAsia="宋体" w:cs="宋体"/>
          <w:sz w:val="21"/>
          <w:szCs w:val="21"/>
        </w:rPr>
        <w:t>的时候，需要准备专业相关的参营论文吗？</w:t>
      </w:r>
    </w:p>
    <w:p w14:paraId="50364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不需要，我院并不要求</w:t>
      </w:r>
      <w:r>
        <w:rPr>
          <w:rFonts w:hint="eastAsia" w:ascii="宋体" w:hAnsi="宋体" w:eastAsia="宋体" w:cs="宋体"/>
          <w:sz w:val="21"/>
          <w:szCs w:val="21"/>
          <w:lang w:val="en-US" w:eastAsia="zh-CN"/>
        </w:rPr>
        <w:t>营员</w:t>
      </w:r>
      <w:r>
        <w:rPr>
          <w:rFonts w:hint="eastAsia" w:ascii="宋体" w:hAnsi="宋体" w:eastAsia="宋体" w:cs="宋体"/>
          <w:sz w:val="21"/>
          <w:szCs w:val="21"/>
        </w:rPr>
        <w:t>准备参营论文或有专业相关的论文发表，在参营阶段仅需展现自身科研兴趣和科研潜力即可</w:t>
      </w:r>
      <w:r>
        <w:rPr>
          <w:rFonts w:hint="eastAsia" w:ascii="宋体" w:hAnsi="宋体" w:eastAsia="宋体" w:cs="宋体"/>
          <w:color w:val="6A6A6A"/>
          <w:sz w:val="21"/>
          <w:szCs w:val="21"/>
        </w:rPr>
        <w:t>。</w:t>
      </w:r>
    </w:p>
    <w:p w14:paraId="3A497A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lang w:val="en-US" w:eastAsia="zh-CN"/>
        </w:rPr>
      </w:pPr>
      <w:r>
        <w:rPr>
          <w:rStyle w:val="5"/>
          <w:rFonts w:hint="eastAsia" w:ascii="宋体" w:hAnsi="宋体" w:eastAsia="宋体" w:cs="宋体"/>
          <w:sz w:val="21"/>
          <w:szCs w:val="21"/>
        </w:rPr>
        <w:t>Q</w:t>
      </w:r>
      <w:r>
        <w:rPr>
          <w:rStyle w:val="5"/>
          <w:rFonts w:hint="eastAsia" w:ascii="宋体" w:hAnsi="宋体" w:eastAsia="宋体" w:cs="宋体"/>
          <w:sz w:val="21"/>
          <w:szCs w:val="21"/>
          <w:lang w:val="en-US" w:eastAsia="zh-CN"/>
        </w:rPr>
        <w:t>2</w:t>
      </w:r>
    </w:p>
    <w:p w14:paraId="4133C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Style w:val="5"/>
          <w:rFonts w:hint="eastAsia" w:ascii="宋体" w:hAnsi="宋体" w:eastAsia="宋体" w:cs="宋体"/>
          <w:sz w:val="21"/>
          <w:szCs w:val="21"/>
          <w:lang w:val="en-US" w:eastAsia="zh-CN"/>
        </w:rPr>
        <w:t>夏令营期间</w:t>
      </w:r>
      <w:r>
        <w:rPr>
          <w:rStyle w:val="5"/>
          <w:rFonts w:hint="eastAsia" w:ascii="宋体" w:hAnsi="宋体" w:eastAsia="宋体" w:cs="宋体"/>
          <w:sz w:val="21"/>
          <w:szCs w:val="21"/>
        </w:rPr>
        <w:t>需不需要提前联系导师？</w:t>
      </w:r>
    </w:p>
    <w:p w14:paraId="30921C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夏令营期间</w:t>
      </w:r>
      <w:r>
        <w:rPr>
          <w:rFonts w:hint="eastAsia" w:ascii="宋体" w:hAnsi="宋体" w:eastAsia="宋体" w:cs="宋体"/>
          <w:sz w:val="21"/>
          <w:szCs w:val="21"/>
        </w:rPr>
        <w:t>无需提前联系</w:t>
      </w:r>
      <w:r>
        <w:rPr>
          <w:rFonts w:hint="eastAsia" w:ascii="宋体" w:hAnsi="宋体" w:eastAsia="宋体" w:cs="宋体"/>
          <w:sz w:val="21"/>
          <w:szCs w:val="21"/>
          <w:lang w:val="en-US" w:eastAsia="zh-CN"/>
        </w:rPr>
        <w:t>导师</w:t>
      </w:r>
      <w:r>
        <w:rPr>
          <w:rFonts w:hint="eastAsia" w:ascii="宋体" w:hAnsi="宋体" w:eastAsia="宋体" w:cs="宋体"/>
          <w:sz w:val="21"/>
          <w:szCs w:val="21"/>
        </w:rPr>
        <w:t>，大家可以充分探究科研兴趣和了解</w:t>
      </w:r>
      <w:r>
        <w:rPr>
          <w:rFonts w:hint="eastAsia" w:ascii="宋体" w:hAnsi="宋体" w:eastAsia="宋体" w:cs="宋体"/>
          <w:sz w:val="21"/>
          <w:szCs w:val="21"/>
          <w:lang w:val="en-US" w:eastAsia="zh-CN"/>
        </w:rPr>
        <w:t>导师</w:t>
      </w:r>
      <w:r>
        <w:rPr>
          <w:rFonts w:hint="eastAsia" w:ascii="宋体" w:hAnsi="宋体" w:eastAsia="宋体" w:cs="宋体"/>
          <w:sz w:val="21"/>
          <w:szCs w:val="21"/>
        </w:rPr>
        <w:t>研究方向。</w:t>
      </w:r>
    </w:p>
    <w:p w14:paraId="729C51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lang w:val="en-US" w:eastAsia="zh-CN"/>
        </w:rPr>
      </w:pPr>
      <w:r>
        <w:rPr>
          <w:rStyle w:val="5"/>
          <w:rFonts w:hint="eastAsia" w:ascii="宋体" w:hAnsi="宋体" w:eastAsia="宋体" w:cs="宋体"/>
          <w:sz w:val="21"/>
          <w:szCs w:val="21"/>
        </w:rPr>
        <w:t>Q</w:t>
      </w:r>
      <w:r>
        <w:rPr>
          <w:rStyle w:val="5"/>
          <w:rFonts w:hint="eastAsia" w:ascii="宋体" w:hAnsi="宋体" w:eastAsia="宋体" w:cs="宋体"/>
          <w:sz w:val="21"/>
          <w:szCs w:val="21"/>
          <w:lang w:val="en-US" w:eastAsia="zh-CN"/>
        </w:rPr>
        <w:t>3</w:t>
      </w:r>
    </w:p>
    <w:p w14:paraId="69300431">
      <w:pP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pPr>
      <w:r>
        <w:rPr>
          <w:rFonts w:hint="eastAsia" w:ascii="宋体" w:hAnsi="宋体" w:eastAsia="宋体" w:cs="宋体"/>
          <w:b/>
          <w:bCs/>
          <w:i w:val="0"/>
          <w:iCs w:val="0"/>
          <w:caps w:val="0"/>
          <w:color w:val="000000" w:themeColor="text1"/>
          <w:spacing w:val="0"/>
          <w:sz w:val="21"/>
          <w:szCs w:val="21"/>
          <w:shd w:val="clear" w:fill="FFFFFF"/>
          <w:lang w:val="en-US" w:eastAsia="zh-CN"/>
          <w14:textFill>
            <w14:solidFill>
              <w14:schemeClr w14:val="tx1"/>
            </w14:solidFill>
          </w14:textFill>
        </w:rPr>
        <w:t>夏令营</w:t>
      </w:r>
      <w: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需要</w:t>
      </w:r>
      <w:r>
        <w:rPr>
          <w:rFonts w:hint="eastAsia" w:ascii="宋体" w:hAnsi="宋体" w:eastAsia="宋体" w:cs="宋体"/>
          <w:b/>
          <w:bCs/>
          <w:i w:val="0"/>
          <w:iCs w:val="0"/>
          <w:caps w:val="0"/>
          <w:color w:val="000000" w:themeColor="text1"/>
          <w:spacing w:val="0"/>
          <w:sz w:val="21"/>
          <w:szCs w:val="21"/>
          <w:shd w:val="clear" w:fill="FFFFFF"/>
          <w:lang w:val="en-US" w:eastAsia="zh-CN"/>
          <w14:textFill>
            <w14:solidFill>
              <w14:schemeClr w14:val="tx1"/>
            </w14:solidFill>
          </w14:textFill>
        </w:rPr>
        <w:t>准备</w:t>
      </w:r>
      <w:r>
        <w:rPr>
          <w:rFonts w:hint="eastAsia" w:ascii="宋体" w:hAnsi="宋体" w:eastAsia="宋体" w:cs="宋体"/>
          <w:b/>
          <w:bCs/>
          <w:i w:val="0"/>
          <w:iCs w:val="0"/>
          <w:caps w:val="0"/>
          <w:color w:val="000000" w:themeColor="text1"/>
          <w:spacing w:val="0"/>
          <w:sz w:val="21"/>
          <w:szCs w:val="21"/>
          <w:shd w:val="clear" w:fill="FFFFFF"/>
          <w14:textFill>
            <w14:solidFill>
              <w14:schemeClr w14:val="tx1"/>
            </w14:solidFill>
          </w14:textFill>
        </w:rPr>
        <w:t>PPT吗？</w:t>
      </w:r>
    </w:p>
    <w:p w14:paraId="5E209B44">
      <w:pP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shd w:val="clear" w:fill="FFFFFF"/>
          <w:lang w:val="en-US" w:eastAsia="zh-CN"/>
          <w14:textFill>
            <w14:solidFill>
              <w14:schemeClr w14:val="tx1"/>
            </w14:solidFill>
          </w14:textFill>
        </w:rPr>
        <w:t>不需要准备PPT。</w:t>
      </w:r>
    </w:p>
    <w:p w14:paraId="54E8532C">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Q4</w:t>
      </w:r>
    </w:p>
    <w:p w14:paraId="0848C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Style w:val="5"/>
          <w:rFonts w:hint="eastAsia" w:ascii="宋体" w:hAnsi="宋体" w:eastAsia="宋体" w:cs="宋体"/>
          <w:sz w:val="21"/>
          <w:szCs w:val="21"/>
        </w:rPr>
        <w:t>可以同时申请</w:t>
      </w:r>
      <w:r>
        <w:rPr>
          <w:rStyle w:val="5"/>
          <w:rFonts w:hint="eastAsia" w:ascii="宋体" w:hAnsi="宋体" w:eastAsia="宋体" w:cs="宋体"/>
          <w:sz w:val="21"/>
          <w:szCs w:val="21"/>
          <w:lang w:val="en-US" w:eastAsia="zh-CN"/>
        </w:rPr>
        <w:t>夏令营的</w:t>
      </w:r>
      <w:r>
        <w:rPr>
          <w:rFonts w:hint="eastAsia" w:ascii="宋体" w:hAnsi="宋体" w:eastAsia="宋体" w:cs="宋体"/>
          <w:b/>
          <w:bCs/>
          <w:spacing w:val="-3"/>
          <w:sz w:val="21"/>
          <w:szCs w:val="21"/>
          <w:lang w:val="en-US" w:eastAsia="zh-CN"/>
        </w:rPr>
        <w:t>硕博连读项目和直博项目吗</w:t>
      </w:r>
      <w:r>
        <w:rPr>
          <w:rStyle w:val="5"/>
          <w:rFonts w:hint="eastAsia" w:ascii="宋体" w:hAnsi="宋体" w:eastAsia="宋体" w:cs="宋体"/>
          <w:sz w:val="21"/>
          <w:szCs w:val="21"/>
        </w:rPr>
        <w:t>？</w:t>
      </w:r>
    </w:p>
    <w:p w14:paraId="55CBD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ascii="宋体" w:hAnsi="宋体" w:eastAsia="宋体" w:cs="宋体"/>
          <w:b/>
          <w:bCs/>
          <w:color w:val="FF0000"/>
          <w:kern w:val="0"/>
          <w:sz w:val="24"/>
          <w:szCs w:val="24"/>
          <w:lang w:val="en-US" w:eastAsia="zh-CN" w:bidi="ar"/>
        </w:rPr>
      </w:pPr>
      <w:r>
        <w:rPr>
          <w:rStyle w:val="5"/>
          <w:rFonts w:hint="eastAsia" w:ascii="宋体" w:hAnsi="宋体" w:eastAsia="宋体" w:cs="宋体"/>
          <w:b w:val="0"/>
          <w:bCs/>
          <w:color w:val="000000" w:themeColor="text1"/>
          <w:sz w:val="21"/>
          <w:szCs w:val="21"/>
          <w14:textFill>
            <w14:solidFill>
              <w14:schemeClr w14:val="tx1"/>
            </w14:solidFill>
          </w14:textFill>
        </w:rPr>
        <w:t>不可同时申请。</w:t>
      </w:r>
    </w:p>
    <w:p w14:paraId="4E296BA8">
      <w:pP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Q5</w:t>
      </w:r>
    </w:p>
    <w:p w14:paraId="6E05D3C2">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rPr>
          <w:rFonts w:hint="eastAsia" w:ascii="宋体" w:hAnsi="宋体" w:eastAsia="宋体" w:cs="宋体"/>
          <w:b/>
          <w:bCs/>
          <w:color w:val="000000" w:themeColor="text1"/>
          <w:kern w:val="2"/>
          <w:sz w:val="21"/>
          <w:szCs w:val="21"/>
          <w:lang w:val="en-US" w:eastAsia="zh-CN" w:bidi="ar"/>
          <w14:textFill>
            <w14:solidFill>
              <w14:schemeClr w14:val="tx1"/>
            </w14:solidFill>
          </w14:textFill>
        </w:rPr>
      </w:pPr>
      <w:r>
        <w:rPr>
          <w:rFonts w:hint="eastAsia" w:ascii="宋体" w:hAnsi="宋体" w:eastAsia="宋体" w:cs="宋体"/>
          <w:b/>
          <w:bCs/>
          <w:kern w:val="2"/>
          <w:sz w:val="21"/>
          <w:szCs w:val="21"/>
          <w:lang w:val="en-US" w:eastAsia="zh-CN" w:bidi="ar"/>
        </w:rPr>
        <w:t>中山大学管理学院</w:t>
      </w:r>
      <w:r>
        <w:rPr>
          <w:rFonts w:hint="eastAsia" w:ascii="宋体" w:hAnsi="宋体" w:eastAsia="宋体" w:cs="宋体"/>
          <w:b/>
          <w:bCs/>
          <w:color w:val="000000" w:themeColor="text1"/>
          <w:kern w:val="2"/>
          <w:sz w:val="21"/>
          <w:szCs w:val="21"/>
          <w:lang w:val="en-US" w:eastAsia="zh-CN" w:bidi="ar"/>
          <w14:textFill>
            <w14:solidFill>
              <w14:schemeClr w14:val="tx1"/>
            </w14:solidFill>
          </w14:textFill>
        </w:rPr>
        <w:t>直博项目/硕博连读项目有什么不同？</w:t>
      </w:r>
    </w:p>
    <w:p w14:paraId="538DD235">
      <w:pPr>
        <w:keepNext w:val="0"/>
        <w:keepLines w:val="0"/>
        <w:pageBreakBefore w:val="0"/>
        <w:widowControl/>
        <w:suppressLineNumbers w:val="0"/>
        <w:kinsoku/>
        <w:wordWrap/>
        <w:overflowPunct/>
        <w:topLinePunct w:val="0"/>
        <w:autoSpaceDE/>
        <w:autoSpaceDN/>
        <w:bidi w:val="0"/>
        <w:adjustRightInd/>
        <w:snapToGrid/>
        <w:spacing w:beforeAutospacing="0" w:line="360" w:lineRule="auto"/>
        <w:ind w:firstLine="0" w:firstLineChars="0"/>
        <w:jc w:val="left"/>
        <w:textAlignment w:val="auto"/>
        <w:rPr>
          <w:rStyle w:val="5"/>
          <w:rFonts w:hint="eastAsia" w:ascii="宋体" w:hAnsi="宋体" w:eastAsia="宋体" w:cs="宋体"/>
          <w:b w:val="0"/>
          <w:bCs w:val="0"/>
          <w:color w:val="000000" w:themeColor="text1"/>
          <w:kern w:val="0"/>
          <w:sz w:val="21"/>
          <w:szCs w:val="21"/>
          <w:lang w:bidi="ar"/>
          <w14:textFill>
            <w14:solidFill>
              <w14:schemeClr w14:val="tx1"/>
            </w14:solidFill>
          </w14:textFill>
        </w:rPr>
      </w:pPr>
      <w:r>
        <w:rPr>
          <w:rStyle w:val="5"/>
          <w:rFonts w:hint="eastAsia" w:ascii="宋体" w:hAnsi="宋体" w:eastAsia="宋体" w:cs="宋体"/>
          <w:b w:val="0"/>
          <w:bCs w:val="0"/>
          <w:color w:val="000000" w:themeColor="text1"/>
          <w:kern w:val="0"/>
          <w:sz w:val="21"/>
          <w:szCs w:val="21"/>
          <w:lang w:bidi="ar"/>
          <w14:textFill>
            <w14:solidFill>
              <w14:schemeClr w14:val="tx1"/>
            </w14:solidFill>
          </w14:textFill>
        </w:rPr>
        <w:t>中山大学管理学院直博项目/硕博连读项目旨在培养德、智、体全面发展，在工商</w:t>
      </w:r>
      <w:bookmarkStart w:id="0" w:name="_GoBack"/>
      <w:bookmarkEnd w:id="0"/>
      <w:r>
        <w:rPr>
          <w:rStyle w:val="5"/>
          <w:rFonts w:hint="eastAsia" w:ascii="宋体" w:hAnsi="宋体" w:eastAsia="宋体" w:cs="宋体"/>
          <w:b w:val="0"/>
          <w:bCs w:val="0"/>
          <w:color w:val="000000" w:themeColor="text1"/>
          <w:kern w:val="0"/>
          <w:sz w:val="21"/>
          <w:szCs w:val="21"/>
          <w:lang w:bidi="ar"/>
          <w14:textFill>
            <w14:solidFill>
              <w14:schemeClr w14:val="tx1"/>
            </w14:solidFill>
          </w14:textFill>
        </w:rPr>
        <w:t>管理及管理科学与工程学科方面具有坚实宽广的理论基础和系统深入的专门知识，把握学科发展前沿，具有发现问题、分析问题、解决问题和持续创新能力，以及具有国际竞争力潜能的高层次人才。</w:t>
      </w:r>
      <w:r>
        <w:rPr>
          <w:rStyle w:val="5"/>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工</w:t>
      </w:r>
      <w:r>
        <w:rPr>
          <w:rStyle w:val="5"/>
          <w:rFonts w:hint="eastAsia" w:ascii="宋体" w:hAnsi="宋体" w:eastAsia="宋体" w:cs="宋体"/>
          <w:b w:val="0"/>
          <w:bCs w:val="0"/>
          <w:color w:val="000000" w:themeColor="text1"/>
          <w:kern w:val="0"/>
          <w:sz w:val="21"/>
          <w:szCs w:val="21"/>
          <w:lang w:bidi="ar"/>
          <w14:textFill>
            <w14:solidFill>
              <w14:schemeClr w14:val="tx1"/>
            </w14:solidFill>
          </w14:textFill>
        </w:rPr>
        <w:t>商管理学</w:t>
      </w:r>
      <w:r>
        <w:rPr>
          <w:rStyle w:val="5"/>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专业</w:t>
      </w:r>
      <w:r>
        <w:rPr>
          <w:rStyle w:val="5"/>
          <w:rFonts w:hint="eastAsia" w:ascii="宋体" w:hAnsi="宋体" w:eastAsia="宋体" w:cs="宋体"/>
          <w:b w:val="0"/>
          <w:bCs w:val="0"/>
          <w:color w:val="000000" w:themeColor="text1"/>
          <w:kern w:val="0"/>
          <w:sz w:val="21"/>
          <w:szCs w:val="21"/>
          <w:lang w:bidi="ar"/>
          <w14:textFill>
            <w14:solidFill>
              <w14:schemeClr w14:val="tx1"/>
            </w14:solidFill>
          </w14:textFill>
        </w:rPr>
        <w:t>包含会计学、企业管理、旅游管理、技术经济及管理、财务与投资管理、市场营销六个</w:t>
      </w:r>
      <w:r>
        <w:rPr>
          <w:rStyle w:val="5"/>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研究</w:t>
      </w:r>
      <w:r>
        <w:rPr>
          <w:rStyle w:val="5"/>
          <w:rFonts w:hint="eastAsia" w:ascii="宋体" w:hAnsi="宋体" w:eastAsia="宋体" w:cs="宋体"/>
          <w:b w:val="0"/>
          <w:bCs w:val="0"/>
          <w:color w:val="000000" w:themeColor="text1"/>
          <w:kern w:val="0"/>
          <w:sz w:val="21"/>
          <w:szCs w:val="21"/>
          <w:lang w:bidi="ar"/>
          <w14:textFill>
            <w14:solidFill>
              <w14:schemeClr w14:val="tx1"/>
            </w14:solidFill>
          </w14:textFill>
        </w:rPr>
        <w:t>方向，管理科学与工程</w:t>
      </w:r>
      <w:r>
        <w:rPr>
          <w:rStyle w:val="5"/>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专业</w:t>
      </w:r>
      <w:r>
        <w:rPr>
          <w:rStyle w:val="5"/>
          <w:rFonts w:hint="eastAsia" w:ascii="宋体" w:hAnsi="宋体" w:eastAsia="宋体" w:cs="宋体"/>
          <w:b w:val="0"/>
          <w:bCs w:val="0"/>
          <w:color w:val="000000" w:themeColor="text1"/>
          <w:kern w:val="0"/>
          <w:sz w:val="21"/>
          <w:szCs w:val="21"/>
          <w:lang w:bidi="ar"/>
          <w14:textFill>
            <w14:solidFill>
              <w14:schemeClr w14:val="tx1"/>
            </w14:solidFill>
          </w14:textFill>
        </w:rPr>
        <w:t>包含信息系统与信息管理、运营与供应链管理、服务科学与管理、金融科技与金融工程四个</w:t>
      </w:r>
      <w:r>
        <w:rPr>
          <w:rStyle w:val="5"/>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研究领域</w:t>
      </w:r>
      <w:r>
        <w:rPr>
          <w:rStyle w:val="5"/>
          <w:rFonts w:hint="eastAsia" w:ascii="宋体" w:hAnsi="宋体" w:eastAsia="宋体" w:cs="宋体"/>
          <w:b w:val="0"/>
          <w:bCs w:val="0"/>
          <w:color w:val="000000" w:themeColor="text1"/>
          <w:kern w:val="0"/>
          <w:sz w:val="21"/>
          <w:szCs w:val="21"/>
          <w:lang w:bidi="ar"/>
          <w14:textFill>
            <w14:solidFill>
              <w14:schemeClr w14:val="tx1"/>
            </w14:solidFill>
          </w14:textFill>
        </w:rPr>
        <w:t>。直博</w:t>
      </w:r>
      <w:r>
        <w:rPr>
          <w:rStyle w:val="5"/>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项目学制五年，</w:t>
      </w:r>
      <w:r>
        <w:rPr>
          <w:rStyle w:val="5"/>
          <w:rFonts w:hint="eastAsia" w:ascii="宋体" w:hAnsi="宋体" w:eastAsia="宋体" w:cs="宋体"/>
          <w:b w:val="0"/>
          <w:bCs w:val="0"/>
          <w:color w:val="000000" w:themeColor="text1"/>
          <w:kern w:val="0"/>
          <w:sz w:val="21"/>
          <w:szCs w:val="21"/>
          <w:lang w:bidi="ar"/>
          <w14:textFill>
            <w14:solidFill>
              <w14:schemeClr w14:val="tx1"/>
            </w14:solidFill>
          </w14:textFill>
        </w:rPr>
        <w:t>与硕博连读生培养进程同步，入学后即可享受博士各类资源支持。硕博连读学制五年，统筹硕士和博士研究生培养过程，采取“2+3”培养模式，前两年进行研究课程训练，通过博士候选人选拔，后三年进入博士研究阶段。</w:t>
      </w:r>
    </w:p>
    <w:p w14:paraId="481F981F">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left"/>
        <w:textAlignment w:val="auto"/>
        <w:rPr>
          <w:rFonts w:ascii="宋体" w:hAnsi="宋体" w:eastAsia="宋体" w:cs="宋体"/>
          <w:kern w:val="0"/>
          <w:sz w:val="24"/>
          <w:szCs w:val="24"/>
          <w:lang w:val="en-US" w:eastAsia="zh-CN" w:bidi="ar"/>
        </w:rPr>
      </w:pPr>
    </w:p>
    <w:tbl>
      <w:tblPr>
        <w:tblStyle w:val="3"/>
        <w:tblW w:w="4732"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787"/>
        <w:gridCol w:w="4814"/>
        <w:gridCol w:w="1317"/>
      </w:tblGrid>
      <w:tr w14:paraId="1974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7" w:hRule="atLeast"/>
          <w:tblCellSpacing w:w="15" w:type="dxa"/>
        </w:trPr>
        <w:tc>
          <w:tcPr>
            <w:tcW w:w="1100" w:type="pct"/>
            <w:tcBorders>
              <w:top w:val="nil"/>
              <w:left w:val="nil"/>
              <w:bottom w:val="nil"/>
              <w:right w:val="nil"/>
            </w:tcBorders>
            <w:shd w:val="clear" w:color="auto" w:fill="146840"/>
            <w:noWrap w:val="0"/>
            <w:tcMar>
              <w:left w:w="0" w:type="dxa"/>
              <w:right w:w="0" w:type="dxa"/>
            </w:tcMar>
            <w:vAlign w:val="center"/>
          </w:tcPr>
          <w:p w14:paraId="6BC55EB9">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rStyle w:val="5"/>
                <w:sz w:val="18"/>
                <w:szCs w:val="18"/>
              </w:rPr>
              <w:t>招收类型</w:t>
            </w:r>
          </w:p>
        </w:tc>
        <w:tc>
          <w:tcPr>
            <w:tcW w:w="3020" w:type="pct"/>
            <w:tcBorders>
              <w:top w:val="nil"/>
              <w:left w:val="nil"/>
              <w:bottom w:val="nil"/>
              <w:right w:val="nil"/>
            </w:tcBorders>
            <w:shd w:val="clear" w:color="auto" w:fill="146840"/>
            <w:noWrap w:val="0"/>
            <w:tcMar>
              <w:left w:w="0" w:type="dxa"/>
              <w:right w:w="0" w:type="dxa"/>
            </w:tcMar>
            <w:vAlign w:val="center"/>
          </w:tcPr>
          <w:p w14:paraId="22FF26D9">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rStyle w:val="5"/>
                <w:sz w:val="18"/>
                <w:szCs w:val="18"/>
              </w:rPr>
              <w:t>招收专业</w:t>
            </w:r>
            <w:r>
              <w:rPr>
                <w:rStyle w:val="5"/>
                <w:rFonts w:hint="eastAsia"/>
                <w:sz w:val="18"/>
                <w:szCs w:val="18"/>
                <w:lang w:eastAsia="zh-CN"/>
              </w:rPr>
              <w:t>（</w:t>
            </w:r>
            <w:r>
              <w:rPr>
                <w:rStyle w:val="5"/>
                <w:sz w:val="18"/>
                <w:szCs w:val="18"/>
              </w:rPr>
              <w:t>方向</w:t>
            </w:r>
            <w:r>
              <w:rPr>
                <w:rStyle w:val="5"/>
                <w:rFonts w:hint="eastAsia"/>
                <w:sz w:val="18"/>
                <w:szCs w:val="18"/>
                <w:lang w:eastAsia="zh-CN"/>
              </w:rPr>
              <w:t>）</w:t>
            </w:r>
          </w:p>
        </w:tc>
        <w:tc>
          <w:tcPr>
            <w:tcW w:w="803" w:type="pct"/>
            <w:tcBorders>
              <w:top w:val="nil"/>
              <w:left w:val="nil"/>
              <w:bottom w:val="nil"/>
              <w:right w:val="nil"/>
            </w:tcBorders>
            <w:shd w:val="clear" w:color="auto" w:fill="146840"/>
            <w:noWrap w:val="0"/>
            <w:tcMar>
              <w:left w:w="0" w:type="dxa"/>
              <w:right w:w="0" w:type="dxa"/>
            </w:tcMar>
            <w:vAlign w:val="center"/>
          </w:tcPr>
          <w:p w14:paraId="17D1BBB3">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rStyle w:val="5"/>
                <w:sz w:val="18"/>
                <w:szCs w:val="18"/>
              </w:rPr>
              <w:t>学制</w:t>
            </w:r>
          </w:p>
        </w:tc>
      </w:tr>
      <w:tr w14:paraId="1BDEC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6" w:hRule="atLeast"/>
          <w:tblCellSpacing w:w="15" w:type="dxa"/>
        </w:trPr>
        <w:tc>
          <w:tcPr>
            <w:tcW w:w="1100" w:type="pct"/>
            <w:vMerge w:val="restart"/>
            <w:tcBorders>
              <w:top w:val="nil"/>
              <w:left w:val="nil"/>
              <w:bottom w:val="nil"/>
              <w:right w:val="nil"/>
            </w:tcBorders>
            <w:shd w:val="clear" w:color="auto" w:fill="F0FBF3"/>
            <w:noWrap w:val="0"/>
            <w:tcMar>
              <w:left w:w="0" w:type="dxa"/>
              <w:right w:w="0" w:type="dxa"/>
            </w:tcMar>
            <w:vAlign w:val="center"/>
          </w:tcPr>
          <w:p w14:paraId="20B60875">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sz w:val="18"/>
                <w:szCs w:val="18"/>
              </w:rPr>
              <w:t>直博生</w:t>
            </w:r>
          </w:p>
        </w:tc>
        <w:tc>
          <w:tcPr>
            <w:tcW w:w="3020" w:type="pct"/>
            <w:tcBorders>
              <w:top w:val="nil"/>
              <w:left w:val="nil"/>
              <w:bottom w:val="nil"/>
              <w:right w:val="nil"/>
            </w:tcBorders>
            <w:shd w:val="clear" w:color="auto" w:fill="F0FBF3"/>
            <w:noWrap w:val="0"/>
            <w:tcMar>
              <w:left w:w="75" w:type="dxa"/>
              <w:right w:w="75" w:type="dxa"/>
            </w:tcMar>
            <w:vAlign w:val="center"/>
          </w:tcPr>
          <w:p w14:paraId="1C881BB5">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rFonts w:ascii="Calibri" w:hAnsi="Calibri" w:eastAsia="宋体" w:cs="Times New Roman"/>
                <w:kern w:val="0"/>
                <w:sz w:val="18"/>
                <w:szCs w:val="18"/>
                <w:lang w:val="en-US" w:eastAsia="zh-CN" w:bidi="ar"/>
              </w:rPr>
            </w:pPr>
            <w:r>
              <w:rPr>
                <w:sz w:val="18"/>
                <w:szCs w:val="18"/>
              </w:rPr>
              <w:t>工商</w:t>
            </w:r>
            <w:r>
              <w:rPr>
                <w:rFonts w:ascii="Calibri" w:hAnsi="Calibri" w:eastAsia="宋体" w:cs="Times New Roman"/>
                <w:kern w:val="0"/>
                <w:sz w:val="18"/>
                <w:szCs w:val="18"/>
                <w:lang w:val="en-US" w:eastAsia="zh-CN" w:bidi="ar"/>
              </w:rPr>
              <w:t>管理学</w:t>
            </w:r>
          </w:p>
          <w:p w14:paraId="701BC27E">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rFonts w:ascii="Calibri" w:hAnsi="Calibri" w:eastAsia="宋体" w:cs="Times New Roman"/>
                <w:kern w:val="0"/>
                <w:sz w:val="18"/>
                <w:szCs w:val="18"/>
                <w:lang w:val="en-US" w:eastAsia="zh-CN" w:bidi="ar"/>
              </w:rPr>
              <w:t>（专业方向包括会计学、企业管理、旅游管理、技术经济及管理、财务与投资管理、市场营销）</w:t>
            </w:r>
          </w:p>
        </w:tc>
        <w:tc>
          <w:tcPr>
            <w:tcW w:w="803" w:type="pct"/>
            <w:vMerge w:val="restart"/>
            <w:tcBorders>
              <w:top w:val="nil"/>
              <w:left w:val="nil"/>
              <w:bottom w:val="nil"/>
              <w:right w:val="nil"/>
            </w:tcBorders>
            <w:shd w:val="clear" w:color="auto" w:fill="F0FBF3"/>
            <w:noWrap w:val="0"/>
            <w:tcMar>
              <w:left w:w="0" w:type="dxa"/>
              <w:right w:w="0" w:type="dxa"/>
            </w:tcMar>
            <w:vAlign w:val="center"/>
          </w:tcPr>
          <w:p w14:paraId="141A50D8">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sz w:val="18"/>
                <w:szCs w:val="18"/>
              </w:rPr>
              <w:t>5年</w:t>
            </w:r>
          </w:p>
        </w:tc>
      </w:tr>
      <w:tr w14:paraId="14CE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2" w:hRule="atLeast"/>
          <w:tblCellSpacing w:w="15" w:type="dxa"/>
        </w:trPr>
        <w:tc>
          <w:tcPr>
            <w:tcW w:w="1100" w:type="pct"/>
            <w:vMerge w:val="continue"/>
            <w:tcBorders>
              <w:top w:val="nil"/>
              <w:left w:val="nil"/>
              <w:bottom w:val="nil"/>
              <w:right w:val="nil"/>
            </w:tcBorders>
            <w:shd w:val="clear" w:color="auto" w:fill="F0FBF3"/>
            <w:noWrap w:val="0"/>
            <w:tcMar>
              <w:left w:w="0" w:type="dxa"/>
              <w:right w:w="0" w:type="dxa"/>
            </w:tcMar>
            <w:vAlign w:val="center"/>
          </w:tcPr>
          <w:p w14:paraId="432C9EE2">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宋体"/>
                <w:sz w:val="18"/>
                <w:szCs w:val="18"/>
              </w:rPr>
            </w:pPr>
          </w:p>
        </w:tc>
        <w:tc>
          <w:tcPr>
            <w:tcW w:w="3020" w:type="pct"/>
            <w:tcBorders>
              <w:top w:val="nil"/>
              <w:left w:val="nil"/>
              <w:bottom w:val="nil"/>
              <w:right w:val="nil"/>
            </w:tcBorders>
            <w:shd w:val="clear" w:color="auto" w:fill="F0FBF3"/>
            <w:noWrap w:val="0"/>
            <w:tcMar>
              <w:left w:w="75" w:type="dxa"/>
              <w:right w:w="75" w:type="dxa"/>
            </w:tcMar>
            <w:vAlign w:val="center"/>
          </w:tcPr>
          <w:p w14:paraId="4AC4F463">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rFonts w:ascii="Calibri" w:hAnsi="Calibri" w:eastAsia="宋体" w:cs="Times New Roman"/>
                <w:kern w:val="0"/>
                <w:sz w:val="18"/>
                <w:szCs w:val="18"/>
                <w:lang w:val="en-US" w:eastAsia="zh-CN" w:bidi="ar"/>
              </w:rPr>
            </w:pPr>
            <w:r>
              <w:rPr>
                <w:sz w:val="18"/>
                <w:szCs w:val="18"/>
              </w:rPr>
              <w:t>管理科学与</w:t>
            </w:r>
            <w:r>
              <w:rPr>
                <w:rFonts w:ascii="Calibri" w:hAnsi="Calibri" w:eastAsia="宋体" w:cs="Times New Roman"/>
                <w:kern w:val="0"/>
                <w:sz w:val="18"/>
                <w:szCs w:val="18"/>
                <w:lang w:val="en-US" w:eastAsia="zh-CN" w:bidi="ar"/>
              </w:rPr>
              <w:t>工程</w:t>
            </w:r>
          </w:p>
          <w:p w14:paraId="2C3F9C68">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rFonts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研究领域</w:t>
            </w:r>
            <w:r>
              <w:rPr>
                <w:rFonts w:ascii="Calibri" w:hAnsi="Calibri" w:eastAsia="宋体" w:cs="Times New Roman"/>
                <w:kern w:val="0"/>
                <w:sz w:val="18"/>
                <w:szCs w:val="18"/>
                <w:lang w:val="en-US" w:eastAsia="zh-CN" w:bidi="ar"/>
              </w:rPr>
              <w:t>包括管理信息系统与数字创新、运营管理与数字化运营、投资决策与风险管理）</w:t>
            </w:r>
          </w:p>
        </w:tc>
        <w:tc>
          <w:tcPr>
            <w:tcW w:w="803" w:type="pct"/>
            <w:vMerge w:val="continue"/>
            <w:tcBorders>
              <w:top w:val="nil"/>
              <w:left w:val="nil"/>
              <w:bottom w:val="nil"/>
              <w:right w:val="nil"/>
            </w:tcBorders>
            <w:shd w:val="clear" w:color="auto" w:fill="F0FBF3"/>
            <w:noWrap w:val="0"/>
            <w:tcMar>
              <w:left w:w="0" w:type="dxa"/>
              <w:right w:w="0" w:type="dxa"/>
            </w:tcMar>
            <w:vAlign w:val="center"/>
          </w:tcPr>
          <w:p w14:paraId="372DB9D4">
            <w:pPr>
              <w:keepNext w:val="0"/>
              <w:keepLines w:val="0"/>
              <w:pageBreakBefore w:val="0"/>
              <w:kinsoku/>
              <w:wordWrap/>
              <w:overflowPunct/>
              <w:topLinePunct w:val="0"/>
              <w:autoSpaceDE/>
              <w:autoSpaceDN/>
              <w:bidi w:val="0"/>
              <w:adjustRightInd/>
              <w:snapToGrid/>
              <w:spacing w:beforeAutospacing="0" w:line="360" w:lineRule="auto"/>
              <w:jc w:val="center"/>
              <w:textAlignment w:val="auto"/>
              <w:rPr>
                <w:rFonts w:hint="eastAsia" w:ascii="宋体"/>
                <w:sz w:val="18"/>
                <w:szCs w:val="18"/>
              </w:rPr>
            </w:pPr>
          </w:p>
        </w:tc>
      </w:tr>
      <w:tr w14:paraId="7108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8" w:hRule="atLeast"/>
          <w:tblCellSpacing w:w="15" w:type="dxa"/>
        </w:trPr>
        <w:tc>
          <w:tcPr>
            <w:tcW w:w="1787" w:type="dxa"/>
            <w:tcBorders>
              <w:top w:val="nil"/>
              <w:left w:val="nil"/>
              <w:bottom w:val="nil"/>
              <w:right w:val="nil"/>
            </w:tcBorders>
            <w:shd w:val="clear" w:color="auto" w:fill="146840"/>
            <w:noWrap w:val="0"/>
            <w:tcMar>
              <w:left w:w="0" w:type="dxa"/>
              <w:right w:w="0" w:type="dxa"/>
            </w:tcMar>
            <w:vAlign w:val="center"/>
          </w:tcPr>
          <w:p w14:paraId="7B18EB3F">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ind w:left="0" w:leftChars="0" w:right="0" w:rightChars="0"/>
              <w:jc w:val="center"/>
              <w:textAlignment w:val="auto"/>
              <w:rPr>
                <w:rStyle w:val="5"/>
                <w:rFonts w:ascii="Times New Roman" w:hAnsi="Times New Roman" w:eastAsia="宋体" w:cs="Times New Roman"/>
                <w:color w:val="000000" w:themeColor="text1"/>
                <w14:textFill>
                  <w14:solidFill>
                    <w14:schemeClr w14:val="tx1"/>
                  </w14:solidFill>
                </w14:textFill>
              </w:rPr>
            </w:pPr>
            <w:r>
              <w:rPr>
                <w:rStyle w:val="5"/>
                <w:sz w:val="18"/>
                <w:szCs w:val="18"/>
              </w:rPr>
              <w:t>招收类型</w:t>
            </w:r>
          </w:p>
        </w:tc>
        <w:tc>
          <w:tcPr>
            <w:tcW w:w="4814" w:type="dxa"/>
            <w:tcBorders>
              <w:top w:val="nil"/>
              <w:left w:val="nil"/>
              <w:bottom w:val="nil"/>
              <w:right w:val="nil"/>
            </w:tcBorders>
            <w:shd w:val="clear" w:color="auto" w:fill="146840"/>
            <w:noWrap w:val="0"/>
            <w:tcMar>
              <w:left w:w="75" w:type="dxa"/>
              <w:right w:w="75" w:type="dxa"/>
            </w:tcMar>
            <w:vAlign w:val="center"/>
          </w:tcPr>
          <w:p w14:paraId="3803A4F1">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ind w:left="0" w:leftChars="0" w:right="0" w:rightChars="0"/>
              <w:jc w:val="center"/>
              <w:textAlignment w:val="auto"/>
              <w:rPr>
                <w:rStyle w:val="5"/>
                <w:rFonts w:ascii="Times New Roman" w:hAnsi="Times New Roman" w:cs="Times New Roman"/>
                <w:color w:val="000000" w:themeColor="text1"/>
                <w14:textFill>
                  <w14:solidFill>
                    <w14:schemeClr w14:val="tx1"/>
                  </w14:solidFill>
                </w14:textFill>
              </w:rPr>
            </w:pPr>
            <w:r>
              <w:rPr>
                <w:rStyle w:val="5"/>
                <w:sz w:val="18"/>
                <w:szCs w:val="18"/>
              </w:rPr>
              <w:t>招收专业</w:t>
            </w:r>
            <w:r>
              <w:rPr>
                <w:rStyle w:val="5"/>
                <w:rFonts w:hint="eastAsia"/>
                <w:sz w:val="18"/>
                <w:szCs w:val="18"/>
                <w:lang w:eastAsia="zh-CN"/>
              </w:rPr>
              <w:t>（</w:t>
            </w:r>
            <w:r>
              <w:rPr>
                <w:rStyle w:val="5"/>
                <w:sz w:val="18"/>
                <w:szCs w:val="18"/>
              </w:rPr>
              <w:t>方向</w:t>
            </w:r>
            <w:r>
              <w:rPr>
                <w:rStyle w:val="5"/>
                <w:rFonts w:hint="eastAsia"/>
                <w:sz w:val="18"/>
                <w:szCs w:val="18"/>
                <w:lang w:eastAsia="zh-CN"/>
              </w:rPr>
              <w:t>）</w:t>
            </w:r>
          </w:p>
        </w:tc>
        <w:tc>
          <w:tcPr>
            <w:tcW w:w="1317" w:type="dxa"/>
            <w:tcBorders>
              <w:top w:val="nil"/>
              <w:left w:val="nil"/>
              <w:bottom w:val="nil"/>
              <w:right w:val="nil"/>
            </w:tcBorders>
            <w:shd w:val="clear" w:color="auto" w:fill="146840"/>
            <w:noWrap w:val="0"/>
            <w:tcMar>
              <w:left w:w="0" w:type="dxa"/>
              <w:right w:w="0" w:type="dxa"/>
            </w:tcMar>
            <w:vAlign w:val="center"/>
          </w:tcPr>
          <w:p w14:paraId="11175856">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ind w:left="0" w:leftChars="0" w:right="0" w:rightChars="0"/>
              <w:jc w:val="center"/>
              <w:textAlignment w:val="auto"/>
              <w:rPr>
                <w:rStyle w:val="5"/>
                <w:rFonts w:ascii="Times New Roman" w:hAnsi="Times New Roman" w:eastAsia="宋体" w:cs="Times New Roman"/>
                <w:color w:val="000000" w:themeColor="text1"/>
                <w14:textFill>
                  <w14:solidFill>
                    <w14:schemeClr w14:val="tx1"/>
                  </w14:solidFill>
                </w14:textFill>
              </w:rPr>
            </w:pPr>
            <w:r>
              <w:rPr>
                <w:rStyle w:val="5"/>
                <w:sz w:val="18"/>
                <w:szCs w:val="18"/>
              </w:rPr>
              <w:t>学制</w:t>
            </w:r>
          </w:p>
        </w:tc>
      </w:tr>
      <w:tr w14:paraId="7EC9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13" w:hRule="atLeast"/>
          <w:tblCellSpacing w:w="15" w:type="dxa"/>
        </w:trPr>
        <w:tc>
          <w:tcPr>
            <w:tcW w:w="1100" w:type="pct"/>
            <w:vMerge w:val="restart"/>
            <w:tcBorders>
              <w:top w:val="nil"/>
              <w:left w:val="nil"/>
              <w:bottom w:val="nil"/>
              <w:right w:val="nil"/>
            </w:tcBorders>
            <w:shd w:val="clear" w:color="auto" w:fill="F0FBF3"/>
            <w:noWrap w:val="0"/>
            <w:tcMar>
              <w:left w:w="0" w:type="dxa"/>
              <w:right w:w="0" w:type="dxa"/>
            </w:tcMar>
            <w:vAlign w:val="center"/>
          </w:tcPr>
          <w:p w14:paraId="74506734">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sz w:val="18"/>
                <w:szCs w:val="18"/>
              </w:rPr>
              <w:t>硕博连读生</w:t>
            </w:r>
          </w:p>
        </w:tc>
        <w:tc>
          <w:tcPr>
            <w:tcW w:w="3020" w:type="pct"/>
            <w:tcBorders>
              <w:top w:val="nil"/>
              <w:left w:val="nil"/>
              <w:bottom w:val="nil"/>
              <w:right w:val="nil"/>
            </w:tcBorders>
            <w:shd w:val="clear" w:color="auto" w:fill="F0FBF3"/>
            <w:noWrap w:val="0"/>
            <w:tcMar>
              <w:left w:w="75" w:type="dxa"/>
              <w:right w:w="75" w:type="dxa"/>
            </w:tcMar>
            <w:vAlign w:val="center"/>
          </w:tcPr>
          <w:p w14:paraId="35DCF5DB">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rFonts w:ascii="Calibri" w:hAnsi="Calibri" w:eastAsia="宋体" w:cs="Times New Roman"/>
                <w:kern w:val="0"/>
                <w:sz w:val="18"/>
                <w:szCs w:val="18"/>
                <w:lang w:val="en-US" w:eastAsia="zh-CN" w:bidi="ar"/>
              </w:rPr>
            </w:pPr>
            <w:r>
              <w:rPr>
                <w:rFonts w:ascii="Calibri" w:hAnsi="Calibri" w:eastAsia="宋体" w:cs="Times New Roman"/>
                <w:kern w:val="0"/>
                <w:sz w:val="18"/>
                <w:szCs w:val="18"/>
                <w:lang w:val="en-US" w:eastAsia="zh-CN" w:bidi="ar"/>
              </w:rPr>
              <w:t>工商管理学</w:t>
            </w:r>
          </w:p>
          <w:p w14:paraId="4675E37E">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rFonts w:ascii="宋体" w:hAnsi="宋体" w:eastAsia="宋体" w:cs="宋体"/>
                <w:kern w:val="0"/>
                <w:sz w:val="18"/>
                <w:szCs w:val="18"/>
                <w:lang w:val="en-US" w:eastAsia="zh-CN" w:bidi="ar"/>
              </w:rPr>
              <w:t>（</w:t>
            </w:r>
            <w:r>
              <w:rPr>
                <w:rFonts w:hint="eastAsia" w:ascii="宋体" w:hAnsi="宋体" w:eastAsia="宋体" w:cs="宋体"/>
                <w:kern w:val="0"/>
                <w:sz w:val="18"/>
                <w:szCs w:val="18"/>
                <w:lang w:val="en-US" w:eastAsia="zh-CN" w:bidi="ar"/>
              </w:rPr>
              <w:t>研究</w:t>
            </w:r>
            <w:r>
              <w:rPr>
                <w:rFonts w:ascii="宋体" w:hAnsi="宋体" w:eastAsia="宋体" w:cs="宋体"/>
                <w:kern w:val="0"/>
                <w:sz w:val="18"/>
                <w:szCs w:val="18"/>
                <w:lang w:val="en-US" w:eastAsia="zh-CN" w:bidi="ar"/>
              </w:rPr>
              <w:t>方向包括会计学、企业管理、旅游管理、技术经济及管理、财务与投资管理、市场营销）</w:t>
            </w:r>
          </w:p>
        </w:tc>
        <w:tc>
          <w:tcPr>
            <w:tcW w:w="803" w:type="pct"/>
            <w:vMerge w:val="restart"/>
            <w:tcBorders>
              <w:top w:val="nil"/>
              <w:left w:val="nil"/>
              <w:bottom w:val="nil"/>
              <w:right w:val="nil"/>
            </w:tcBorders>
            <w:shd w:val="clear" w:color="auto" w:fill="F0FBF3"/>
            <w:noWrap w:val="0"/>
            <w:tcMar>
              <w:left w:w="0" w:type="dxa"/>
              <w:right w:w="0" w:type="dxa"/>
            </w:tcMar>
            <w:vAlign w:val="center"/>
          </w:tcPr>
          <w:p w14:paraId="627A4CD4">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p>
          <w:p w14:paraId="26932B44">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sz w:val="18"/>
                <w:szCs w:val="18"/>
              </w:rPr>
              <w:t>5年</w:t>
            </w:r>
          </w:p>
          <w:p w14:paraId="67F25588">
            <w:pPr>
              <w:pStyle w:val="2"/>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p>
        </w:tc>
      </w:tr>
      <w:tr w14:paraId="0603B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6" w:hRule="atLeast"/>
          <w:tblCellSpacing w:w="15" w:type="dxa"/>
        </w:trPr>
        <w:tc>
          <w:tcPr>
            <w:tcW w:w="1100" w:type="pct"/>
            <w:vMerge w:val="continue"/>
            <w:tcBorders>
              <w:top w:val="nil"/>
              <w:left w:val="nil"/>
              <w:bottom w:val="nil"/>
              <w:right w:val="nil"/>
            </w:tcBorders>
            <w:shd w:val="clear" w:color="auto" w:fill="F0FBF3"/>
            <w:noWrap w:val="0"/>
            <w:tcMar>
              <w:left w:w="0" w:type="dxa"/>
              <w:right w:w="0" w:type="dxa"/>
            </w:tcMar>
            <w:vAlign w:val="center"/>
          </w:tcPr>
          <w:p w14:paraId="13254945">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宋体"/>
                <w:sz w:val="18"/>
                <w:szCs w:val="18"/>
              </w:rPr>
            </w:pPr>
          </w:p>
        </w:tc>
        <w:tc>
          <w:tcPr>
            <w:tcW w:w="3020" w:type="pct"/>
            <w:tcBorders>
              <w:top w:val="nil"/>
              <w:left w:val="nil"/>
              <w:bottom w:val="nil"/>
              <w:right w:val="nil"/>
            </w:tcBorders>
            <w:shd w:val="clear" w:color="auto" w:fill="F0FBF3"/>
            <w:noWrap w:val="0"/>
            <w:tcMar>
              <w:left w:w="75" w:type="dxa"/>
              <w:right w:w="75" w:type="dxa"/>
            </w:tcMar>
            <w:vAlign w:val="center"/>
          </w:tcPr>
          <w:p w14:paraId="2AED02DC">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rFonts w:ascii="Calibri" w:hAnsi="Calibri" w:eastAsia="宋体" w:cs="Times New Roman"/>
                <w:kern w:val="0"/>
                <w:sz w:val="18"/>
                <w:szCs w:val="18"/>
                <w:lang w:val="en-US" w:eastAsia="zh-CN" w:bidi="ar"/>
              </w:rPr>
            </w:pPr>
            <w:r>
              <w:rPr>
                <w:sz w:val="18"/>
                <w:szCs w:val="18"/>
              </w:rPr>
              <w:t>管理科学</w:t>
            </w:r>
            <w:r>
              <w:rPr>
                <w:rFonts w:ascii="Calibri" w:hAnsi="Calibri" w:eastAsia="宋体" w:cs="Times New Roman"/>
                <w:kern w:val="0"/>
                <w:sz w:val="18"/>
                <w:szCs w:val="18"/>
                <w:lang w:val="en-US" w:eastAsia="zh-CN" w:bidi="ar"/>
              </w:rPr>
              <w:t>与工程</w:t>
            </w:r>
          </w:p>
          <w:p w14:paraId="2654061B">
            <w:pPr>
              <w:keepNext w:val="0"/>
              <w:keepLines w:val="0"/>
              <w:pageBreakBefore w:val="0"/>
              <w:widowControl/>
              <w:suppressLineNumbers w:val="0"/>
              <w:kinsoku/>
              <w:wordWrap/>
              <w:overflowPunct/>
              <w:topLinePunct w:val="0"/>
              <w:autoSpaceDE/>
              <w:autoSpaceDN/>
              <w:bidi w:val="0"/>
              <w:adjustRightInd/>
              <w:snapToGrid/>
              <w:spacing w:beforeAutospacing="0" w:line="360" w:lineRule="auto"/>
              <w:jc w:val="center"/>
              <w:textAlignment w:val="auto"/>
              <w:rPr>
                <w:sz w:val="18"/>
                <w:szCs w:val="18"/>
              </w:rPr>
            </w:pPr>
            <w:r>
              <w:rPr>
                <w:rFonts w:ascii="Calibri" w:hAnsi="Calibri" w:eastAsia="宋体" w:cs="Times New Roman"/>
                <w:kern w:val="0"/>
                <w:sz w:val="18"/>
                <w:szCs w:val="18"/>
                <w:lang w:val="en-US" w:eastAsia="zh-CN" w:bidi="ar"/>
              </w:rPr>
              <w:t>（</w:t>
            </w:r>
            <w:r>
              <w:rPr>
                <w:rFonts w:hint="eastAsia" w:ascii="Calibri" w:hAnsi="Calibri" w:eastAsia="宋体" w:cs="Times New Roman"/>
                <w:kern w:val="0"/>
                <w:sz w:val="18"/>
                <w:szCs w:val="18"/>
                <w:lang w:val="en-US" w:eastAsia="zh-CN" w:bidi="ar"/>
              </w:rPr>
              <w:t>研究领域</w:t>
            </w:r>
            <w:r>
              <w:rPr>
                <w:rFonts w:ascii="Calibri" w:hAnsi="Calibri" w:eastAsia="宋体" w:cs="Times New Roman"/>
                <w:kern w:val="0"/>
                <w:sz w:val="18"/>
                <w:szCs w:val="18"/>
                <w:lang w:val="en-US" w:eastAsia="zh-CN" w:bidi="ar"/>
              </w:rPr>
              <w:t>包括管理信息系统与数字创新、运营管理与数字化运营、投资决策与风险管理）</w:t>
            </w:r>
          </w:p>
        </w:tc>
        <w:tc>
          <w:tcPr>
            <w:tcW w:w="803" w:type="pct"/>
            <w:vMerge w:val="continue"/>
            <w:tcBorders>
              <w:top w:val="nil"/>
              <w:left w:val="nil"/>
              <w:bottom w:val="nil"/>
              <w:right w:val="nil"/>
            </w:tcBorders>
            <w:shd w:val="clear" w:color="auto" w:fill="F0FBF3"/>
            <w:noWrap w:val="0"/>
            <w:tcMar>
              <w:left w:w="0" w:type="dxa"/>
              <w:right w:w="0" w:type="dxa"/>
            </w:tcMar>
            <w:vAlign w:val="center"/>
          </w:tcPr>
          <w:p w14:paraId="3077DA0C">
            <w:pPr>
              <w:keepNext w:val="0"/>
              <w:keepLines w:val="0"/>
              <w:pageBreakBefore w:val="0"/>
              <w:kinsoku/>
              <w:wordWrap/>
              <w:overflowPunct/>
              <w:topLinePunct w:val="0"/>
              <w:autoSpaceDE/>
              <w:autoSpaceDN/>
              <w:bidi w:val="0"/>
              <w:adjustRightInd/>
              <w:snapToGrid/>
              <w:spacing w:beforeAutospacing="0" w:line="360" w:lineRule="auto"/>
              <w:textAlignment w:val="auto"/>
              <w:rPr>
                <w:rFonts w:hint="eastAsia" w:ascii="宋体"/>
                <w:sz w:val="18"/>
                <w:szCs w:val="18"/>
              </w:rPr>
            </w:pPr>
          </w:p>
        </w:tc>
      </w:tr>
    </w:tbl>
    <w:p w14:paraId="6B6136F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textAlignment w:val="auto"/>
        <w:rPr>
          <w:rFonts w:ascii="宋体" w:hAnsi="宋体" w:eastAsia="宋体" w:cs="宋体"/>
          <w:sz w:val="21"/>
          <w:szCs w:val="21"/>
        </w:rPr>
      </w:pPr>
      <w:r>
        <w:rPr>
          <w:rFonts w:ascii="宋体" w:hAnsi="宋体" w:eastAsia="宋体" w:cs="宋体"/>
          <w:sz w:val="21"/>
          <w:szCs w:val="21"/>
        </w:rPr>
        <w:t>注：</w:t>
      </w:r>
    </w:p>
    <w:p w14:paraId="1963ACB3">
      <w:pPr>
        <w:pStyle w:val="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textAlignment w:val="auto"/>
        <w:rPr>
          <w:rFonts w:ascii="宋体" w:hAnsi="宋体" w:eastAsia="宋体" w:cs="宋体"/>
          <w:sz w:val="21"/>
          <w:szCs w:val="21"/>
        </w:rPr>
      </w:pPr>
      <w:r>
        <w:rPr>
          <w:rFonts w:hint="eastAsia" w:ascii="宋体" w:hAnsi="宋体" w:eastAsia="宋体" w:cs="宋体"/>
          <w:sz w:val="21"/>
          <w:szCs w:val="21"/>
          <w:lang w:val="en-US" w:eastAsia="zh-CN"/>
        </w:rPr>
        <w:t>1.</w:t>
      </w:r>
      <w:r>
        <w:rPr>
          <w:rFonts w:ascii="宋体" w:hAnsi="宋体" w:eastAsia="宋体" w:cs="宋体"/>
          <w:sz w:val="21"/>
          <w:szCs w:val="21"/>
        </w:rPr>
        <w:t>工商管理学：硕士按一级学科招生和培养，博士按二级学科招生和培养；</w:t>
      </w:r>
    </w:p>
    <w:p w14:paraId="1A7F3051">
      <w:pPr>
        <w:pStyle w:val="2"/>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textAlignment w:val="auto"/>
        <w:rPr>
          <w:rFonts w:ascii="宋体" w:hAnsi="宋体" w:eastAsia="宋体" w:cs="宋体"/>
          <w:sz w:val="21"/>
          <w:szCs w:val="21"/>
        </w:rPr>
      </w:pPr>
      <w:r>
        <w:rPr>
          <w:rFonts w:hint="eastAsia" w:ascii="宋体" w:hAnsi="宋体" w:eastAsia="宋体" w:cs="宋体"/>
          <w:sz w:val="21"/>
          <w:szCs w:val="21"/>
          <w:lang w:val="en-US" w:eastAsia="zh-CN"/>
        </w:rPr>
        <w:t>2.</w:t>
      </w:r>
      <w:r>
        <w:rPr>
          <w:rFonts w:ascii="宋体" w:hAnsi="宋体" w:eastAsia="宋体" w:cs="宋体"/>
          <w:sz w:val="21"/>
          <w:szCs w:val="21"/>
        </w:rPr>
        <w:t>管理科学与工程：</w:t>
      </w:r>
      <w:r>
        <w:rPr>
          <w:rFonts w:hint="default" w:ascii="宋体" w:hAnsi="宋体" w:eastAsia="宋体" w:cs="宋体"/>
          <w:sz w:val="21"/>
          <w:szCs w:val="21"/>
          <w:lang w:val="en-US" w:eastAsia="zh-CN"/>
        </w:rPr>
        <w:t>硕士和博士均</w:t>
      </w:r>
      <w:r>
        <w:rPr>
          <w:rFonts w:ascii="宋体" w:hAnsi="宋体" w:eastAsia="宋体" w:cs="宋体"/>
          <w:sz w:val="21"/>
          <w:szCs w:val="21"/>
        </w:rPr>
        <w:t>按一级学科招生和培养。</w:t>
      </w:r>
    </w:p>
    <w:p w14:paraId="4DC11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b w:val="0"/>
          <w:bCs/>
          <w:color w:val="000000" w:themeColor="text1"/>
          <w:sz w:val="21"/>
          <w:szCs w:val="21"/>
          <w14:textFill>
            <w14:solidFill>
              <w14:schemeClr w14:val="tx1"/>
            </w14:solidFill>
          </w14:textFill>
        </w:rPr>
      </w:pPr>
    </w:p>
    <w:p w14:paraId="1ED6159A">
      <w:pP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Q6</w:t>
      </w:r>
    </w:p>
    <w:p w14:paraId="51DB8582">
      <w:pPr>
        <w:rPr>
          <w:rStyle w:val="5"/>
          <w:rFonts w:hint="default"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b/>
          <w:bCs/>
          <w:sz w:val="21"/>
          <w:szCs w:val="21"/>
          <w:lang w:val="en-US" w:eastAsia="zh-CN"/>
        </w:rPr>
        <w:t>在中山大学管理学院完成硕士/博士学业后，颁发什么证书？</w:t>
      </w:r>
    </w:p>
    <w:p w14:paraId="507DBE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根据培养方案规定，学生在规定学习年限内完成培养</w:t>
      </w:r>
      <w:r>
        <w:rPr>
          <w:rFonts w:hint="eastAsia" w:ascii="宋体" w:hAnsi="宋体" w:eastAsia="宋体" w:cs="宋体"/>
          <w:sz w:val="21"/>
          <w:szCs w:val="21"/>
          <w:lang w:val="en-US" w:eastAsia="zh-CN"/>
        </w:rPr>
        <w:t>方案</w:t>
      </w:r>
      <w:r>
        <w:rPr>
          <w:rFonts w:hint="default" w:ascii="宋体" w:hAnsi="宋体" w:eastAsia="宋体" w:cs="宋体"/>
          <w:sz w:val="21"/>
          <w:szCs w:val="21"/>
          <w:lang w:val="en-US" w:eastAsia="zh-CN"/>
        </w:rPr>
        <w:t>要求、通过学位论文答辩，并达到中山大学</w:t>
      </w:r>
      <w:r>
        <w:rPr>
          <w:rFonts w:hint="eastAsia" w:ascii="宋体" w:hAnsi="宋体" w:eastAsia="宋体" w:cs="宋体"/>
          <w:sz w:val="21"/>
          <w:szCs w:val="21"/>
          <w:lang w:val="en-US" w:eastAsia="zh-CN"/>
        </w:rPr>
        <w:t>管理学院</w:t>
      </w:r>
      <w:r>
        <w:rPr>
          <w:rFonts w:hint="default" w:ascii="宋体" w:hAnsi="宋体" w:eastAsia="宋体" w:cs="宋体"/>
          <w:sz w:val="21"/>
          <w:szCs w:val="21"/>
          <w:lang w:val="en-US" w:eastAsia="zh-CN"/>
        </w:rPr>
        <w:t>研究生毕业及学位授予标准者，将获得以下证书：</w:t>
      </w:r>
    </w:p>
    <w:p w14:paraId="133FDB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毕业证书：由中山大学颁发的硕士研究生/博士研究生毕业证书</w:t>
      </w:r>
    </w:p>
    <w:p w14:paraId="2A506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学位证书：中山大学授予的管理学硕士学位/博士学位证书</w:t>
      </w:r>
    </w:p>
    <w:p w14:paraId="69DF0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关于</w:t>
      </w:r>
      <w:r>
        <w:rPr>
          <w:rFonts w:hint="eastAsia" w:ascii="宋体" w:hAnsi="宋体" w:eastAsia="宋体" w:cs="宋体"/>
          <w:sz w:val="21"/>
          <w:szCs w:val="21"/>
          <w:lang w:val="en-US" w:eastAsia="zh-CN"/>
        </w:rPr>
        <w:t>证书专业名称</w:t>
      </w:r>
      <w:r>
        <w:rPr>
          <w:rFonts w:hint="default" w:ascii="宋体" w:hAnsi="宋体" w:eastAsia="宋体" w:cs="宋体"/>
          <w:sz w:val="21"/>
          <w:szCs w:val="21"/>
          <w:lang w:val="en-US" w:eastAsia="zh-CN"/>
        </w:rPr>
        <w:t>说明：</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依托工商管理</w:t>
      </w:r>
      <w:r>
        <w:rPr>
          <w:rFonts w:hint="eastAsia" w:ascii="宋体" w:hAnsi="宋体" w:eastAsia="宋体" w:cs="宋体"/>
          <w:sz w:val="21"/>
          <w:szCs w:val="21"/>
          <w:lang w:val="en-US" w:eastAsia="zh-CN"/>
        </w:rPr>
        <w:t>学/管理科学与工程</w:t>
      </w:r>
      <w:r>
        <w:rPr>
          <w:rFonts w:hint="default" w:ascii="宋体" w:hAnsi="宋体" w:eastAsia="宋体" w:cs="宋体"/>
          <w:sz w:val="21"/>
          <w:szCs w:val="21"/>
          <w:lang w:val="en-US" w:eastAsia="zh-CN"/>
        </w:rPr>
        <w:t>一级学科培养的，证书标注</w:t>
      </w:r>
      <w:r>
        <w:rPr>
          <w:rFonts w:hint="eastAsia" w:ascii="宋体" w:hAnsi="宋体" w:eastAsia="宋体" w:cs="宋体"/>
          <w:sz w:val="21"/>
          <w:szCs w:val="21"/>
          <w:lang w:val="en-US" w:eastAsia="zh-CN"/>
        </w:rPr>
        <w:t>一级学科专业</w:t>
      </w:r>
      <w:r>
        <w:rPr>
          <w:rFonts w:hint="default" w:ascii="宋体" w:hAnsi="宋体" w:eastAsia="宋体" w:cs="宋体"/>
          <w:sz w:val="21"/>
          <w:szCs w:val="21"/>
          <w:lang w:val="en-US" w:eastAsia="zh-CN"/>
        </w:rPr>
        <w:t>名称</w:t>
      </w:r>
      <w:r>
        <w:rPr>
          <w:rFonts w:hint="default" w:ascii="宋体" w:hAnsi="宋体" w:eastAsia="宋体" w:cs="宋体"/>
          <w:sz w:val="21"/>
          <w:szCs w:val="21"/>
          <w:lang w:val="en-US" w:eastAsia="zh-CN"/>
        </w:rPr>
        <w:br w:type="textWrapping"/>
      </w:r>
      <w:r>
        <w:rPr>
          <w:rFonts w:hint="default" w:ascii="宋体" w:hAnsi="宋体" w:eastAsia="宋体" w:cs="宋体"/>
          <w:sz w:val="21"/>
          <w:szCs w:val="21"/>
          <w:lang w:val="en-US" w:eastAsia="zh-CN"/>
        </w:rPr>
        <w:t>• 依托二级学科（如会计学、企业管理等）培养的，按实际专业方向标注</w:t>
      </w:r>
    </w:p>
    <w:p w14:paraId="4248EFE6">
      <w:pPr>
        <w:rPr>
          <w:rFonts w:hint="eastAsia" w:ascii="宋体" w:hAnsi="宋体" w:eastAsia="宋体" w:cs="宋体"/>
          <w:b/>
          <w:bCs/>
          <w:sz w:val="21"/>
          <w:szCs w:val="21"/>
          <w:lang w:val="en-US" w:eastAsia="zh-CN"/>
        </w:rPr>
      </w:pPr>
    </w:p>
    <w:p w14:paraId="2102B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lang w:val="en-US" w:eastAsia="zh-CN"/>
        </w:rPr>
      </w:pPr>
      <w:r>
        <w:rPr>
          <w:rStyle w:val="5"/>
          <w:rFonts w:hint="eastAsia" w:ascii="宋体" w:hAnsi="宋体" w:eastAsia="宋体" w:cs="宋体"/>
          <w:sz w:val="21"/>
          <w:szCs w:val="21"/>
        </w:rPr>
        <w:t>Q</w:t>
      </w:r>
      <w:r>
        <w:rPr>
          <w:rStyle w:val="5"/>
          <w:rFonts w:hint="eastAsia" w:ascii="宋体" w:hAnsi="宋体" w:eastAsia="宋体" w:cs="宋体"/>
          <w:sz w:val="21"/>
          <w:szCs w:val="21"/>
          <w:lang w:val="en-US" w:eastAsia="zh-CN"/>
        </w:rPr>
        <w:t>7</w:t>
      </w:r>
    </w:p>
    <w:p w14:paraId="67057C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关于</w:t>
      </w:r>
      <w:r>
        <w:rPr>
          <w:rFonts w:hint="eastAsia" w:ascii="宋体" w:hAnsi="宋体" w:eastAsia="宋体" w:cs="宋体"/>
          <w:sz w:val="21"/>
          <w:szCs w:val="21"/>
        </w:rPr>
        <w:t>研究生奖助政策</w:t>
      </w:r>
    </w:p>
    <w:p w14:paraId="7854B1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1.在读期间博士研究生可申请校长奖学金（特等）；一等助研金、二等助研金；管理学院学术型研究生奖学金等多项奖助金。</w:t>
      </w:r>
    </w:p>
    <w:p w14:paraId="05B205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2.在读期间硕博连读研究生可申请硕士研究生一、二、三等奖助金；硕博连读研究生硕士阶段第二学年助研金；管理学院学术型研究生奖学金等多项奖助金。</w:t>
      </w:r>
    </w:p>
    <w:p w14:paraId="1845D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textAlignment w:val="auto"/>
        <w:rPr>
          <w:rFonts w:hint="eastAsia" w:ascii="宋体" w:hAnsi="宋体" w:eastAsia="宋体" w:cs="宋体"/>
          <w:sz w:val="21"/>
          <w:szCs w:val="21"/>
        </w:rPr>
      </w:pPr>
      <w:r>
        <w:rPr>
          <w:rFonts w:hint="eastAsia" w:ascii="宋体" w:hAnsi="宋体" w:eastAsia="宋体" w:cs="宋体"/>
          <w:sz w:val="21"/>
          <w:szCs w:val="21"/>
        </w:rPr>
        <w:t>3.学术型研究生在读期间可申请学院资助参加高水平国际会议。</w:t>
      </w:r>
    </w:p>
    <w:p w14:paraId="748463B3">
      <w:pPr>
        <w:numPr>
          <w:ilvl w:val="0"/>
          <w:numId w:val="0"/>
        </w:numPr>
        <w:rPr>
          <w:rFonts w:hint="eastAsia" w:ascii="宋体" w:hAnsi="宋体" w:eastAsia="宋体" w:cs="宋体"/>
          <w:i w:val="0"/>
          <w:iCs w:val="0"/>
          <w:caps w:val="0"/>
          <w:color w:val="333333"/>
          <w:spacing w:val="0"/>
          <w:sz w:val="21"/>
          <w:szCs w:val="21"/>
          <w:shd w:val="clear" w:fill="FFFFFF"/>
          <w:lang w:val="en-US" w:eastAsia="zh-CN"/>
        </w:rPr>
      </w:pPr>
    </w:p>
    <w:p w14:paraId="2C47442A">
      <w:pPr>
        <w:rPr>
          <w:rStyle w:val="5"/>
          <w:rFonts w:hint="default" w:ascii="宋体" w:hAnsi="宋体" w:eastAsia="宋体" w:cs="宋体"/>
          <w:i w:val="0"/>
          <w:iCs w:val="0"/>
          <w:caps w:val="0"/>
          <w:color w:val="333333"/>
          <w:spacing w:val="0"/>
          <w:sz w:val="21"/>
          <w:szCs w:val="21"/>
          <w:shd w:val="clear" w:fill="FFFFFF"/>
          <w:lang w:val="en-US" w:eastAsia="zh-CN"/>
        </w:rPr>
      </w:pPr>
      <w:r>
        <w:rPr>
          <w:rStyle w:val="5"/>
          <w:rFonts w:hint="eastAsia" w:ascii="宋体" w:hAnsi="宋体" w:eastAsia="宋体" w:cs="宋体"/>
          <w:i w:val="0"/>
          <w:iCs w:val="0"/>
          <w:caps w:val="0"/>
          <w:color w:val="333333"/>
          <w:spacing w:val="0"/>
          <w:sz w:val="21"/>
          <w:szCs w:val="21"/>
          <w:shd w:val="clear" w:fill="FFFFFF"/>
        </w:rPr>
        <w:t>特别提醒：以上</w:t>
      </w:r>
      <w:r>
        <w:rPr>
          <w:rStyle w:val="5"/>
          <w:rFonts w:hint="eastAsia" w:ascii="宋体" w:hAnsi="宋体" w:eastAsia="宋体" w:cs="宋体"/>
          <w:i w:val="0"/>
          <w:iCs w:val="0"/>
          <w:caps w:val="0"/>
          <w:color w:val="333333"/>
          <w:spacing w:val="0"/>
          <w:sz w:val="21"/>
          <w:szCs w:val="21"/>
          <w:shd w:val="clear" w:fill="FFFFFF"/>
          <w:lang w:val="en-US" w:eastAsia="zh-CN"/>
        </w:rPr>
        <w:t>要求</w:t>
      </w:r>
      <w:r>
        <w:rPr>
          <w:rStyle w:val="5"/>
          <w:rFonts w:hint="eastAsia" w:ascii="宋体" w:hAnsi="宋体" w:eastAsia="宋体" w:cs="宋体"/>
          <w:i w:val="0"/>
          <w:iCs w:val="0"/>
          <w:caps w:val="0"/>
          <w:color w:val="333333"/>
          <w:spacing w:val="0"/>
          <w:sz w:val="21"/>
          <w:szCs w:val="21"/>
          <w:shd w:val="clear" w:fill="FFFFFF"/>
        </w:rPr>
        <w:t>如有变动，以</w:t>
      </w:r>
      <w:r>
        <w:rPr>
          <w:rStyle w:val="5"/>
          <w:rFonts w:hint="eastAsia" w:ascii="宋体" w:hAnsi="宋体" w:eastAsia="宋体" w:cs="宋体"/>
          <w:i w:val="0"/>
          <w:iCs w:val="0"/>
          <w:caps w:val="0"/>
          <w:color w:val="333333"/>
          <w:spacing w:val="0"/>
          <w:sz w:val="21"/>
          <w:szCs w:val="21"/>
          <w:shd w:val="clear" w:fill="FFFFFF"/>
          <w:lang w:val="en-US" w:eastAsia="zh-CN"/>
        </w:rPr>
        <w:t>中山大学当年最新政策为准</w:t>
      </w:r>
      <w:r>
        <w:rPr>
          <w:rStyle w:val="5"/>
          <w:rFonts w:hint="eastAsia" w:ascii="宋体" w:hAnsi="宋体" w:eastAsia="宋体" w:cs="宋体"/>
          <w:i w:val="0"/>
          <w:iCs w:val="0"/>
          <w:caps w:val="0"/>
          <w:color w:val="333333"/>
          <w:spacing w:val="0"/>
          <w:sz w:val="21"/>
          <w:szCs w:val="21"/>
          <w:shd w:val="clear" w:fill="FFFFFF"/>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418A2"/>
    <w:rsid w:val="06A52AEF"/>
    <w:rsid w:val="08C4784C"/>
    <w:rsid w:val="08ED0AE5"/>
    <w:rsid w:val="09425FB0"/>
    <w:rsid w:val="0C1279DC"/>
    <w:rsid w:val="254C40BE"/>
    <w:rsid w:val="2C3418A2"/>
    <w:rsid w:val="41D418BB"/>
    <w:rsid w:val="42B727BC"/>
    <w:rsid w:val="4BA65778"/>
    <w:rsid w:val="4EB33BBF"/>
    <w:rsid w:val="69D4090A"/>
    <w:rsid w:val="6A475036"/>
    <w:rsid w:val="6C6E4FA2"/>
    <w:rsid w:val="7C266B10"/>
    <w:rsid w:val="7E351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qFormat/>
    <w:uiPriority w:val="0"/>
    <w:rPr>
      <w:color w:val="0000FF"/>
      <w:u w:val="single"/>
    </w:r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1253</Words>
  <Characters>1271</Characters>
  <Lines>0</Lines>
  <Paragraphs>0</Paragraphs>
  <TotalTime>3</TotalTime>
  <ScaleCrop>false</ScaleCrop>
  <LinksUpToDate>false</LinksUpToDate>
  <CharactersWithSpaces>1273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2025-04-23T02:26:00Z</dcterms:created>
  <dc:creator>evezhang</dc:creator>
  <cp:lastModifiedBy>evezhang</cp:lastModifiedBy>
  <dcterms:modified xsi:type="dcterms:W3CDTF">2025-06-04T03:47:43Z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B6DD09CB18C24CDBA915DDA36FEAFEAA_13</vt:lpwstr>
  </property>
  <property fmtid="{D5CDD505-2E9C-101B-9397-08002B2CF9AE}" pid="4" name="KSOTemplateDocerSaveRecord">
    <vt:lpwstr>eyJoZGlkIjoiZDI3YzUxODA2N2RiMjFiNjA3NTc2OWY0MTVlMWQ0NjkiLCJ1c2VySWQiOiIyMTI4NTk4MDgifQ==</vt:lpwstr>
  </property>
</Properties>
</file>